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BEA37" w14:textId="77777777" w:rsidR="0056252B" w:rsidRDefault="00000000">
      <w:pPr>
        <w:spacing w:before="800" w:after="160"/>
        <w:jc w:val="center"/>
      </w:pPr>
      <w:r>
        <w:rPr>
          <w:b/>
          <w:sz w:val="40"/>
        </w:rPr>
        <w:t>Escasez y Resiliencia:</w:t>
      </w:r>
    </w:p>
    <w:p w14:paraId="02D5236A" w14:textId="77777777" w:rsidR="0056252B" w:rsidRDefault="00000000">
      <w:pPr>
        <w:spacing w:after="80"/>
        <w:jc w:val="center"/>
      </w:pPr>
      <w:r>
        <w:rPr>
          <w:b/>
          <w:sz w:val="32"/>
        </w:rPr>
        <w:t>Un Marco Matemático para Invertir en la Era de la</w:t>
      </w:r>
    </w:p>
    <w:p w14:paraId="45BC4E68" w14:textId="77777777" w:rsidR="0056252B" w:rsidRDefault="00000000">
      <w:pPr>
        <w:spacing w:after="600"/>
        <w:jc w:val="center"/>
      </w:pPr>
      <w:r>
        <w:rPr>
          <w:b/>
          <w:sz w:val="32"/>
        </w:rPr>
        <w:t>Autorreplicación Artificial</w:t>
      </w:r>
    </w:p>
    <w:p w14:paraId="6418CEC3" w14:textId="77777777" w:rsidR="0056252B" w:rsidRDefault="00000000">
      <w:pPr>
        <w:spacing w:after="160"/>
        <w:jc w:val="center"/>
      </w:pPr>
      <w:r>
        <w:rPr>
          <w:i/>
          <w:sz w:val="24"/>
        </w:rPr>
        <w:t>Scarcity and Resilience: A Mathematical Framework for Investing</w:t>
      </w:r>
      <w:r>
        <w:rPr>
          <w:i/>
          <w:sz w:val="24"/>
        </w:rPr>
        <w:br/>
        <w:t>in the Age of Artificial Self-Replication</w:t>
      </w:r>
    </w:p>
    <w:p w14:paraId="26C0FDA9" w14:textId="77777777" w:rsidR="0056252B" w:rsidRDefault="00000000">
      <w:pPr>
        <w:spacing w:before="80" w:after="80"/>
        <w:jc w:val="center"/>
      </w:pPr>
      <w:r>
        <w:rPr>
          <w:color w:val="B4B4B4"/>
          <w:sz w:val="16"/>
        </w:rPr>
        <w:t>────────────────────────────────────────────────────────────────────────</w:t>
      </w:r>
    </w:p>
    <w:p w14:paraId="54D008AC" w14:textId="77777777" w:rsidR="0056252B" w:rsidRDefault="00000000">
      <w:pPr>
        <w:spacing w:before="400" w:after="120"/>
        <w:jc w:val="center"/>
      </w:pPr>
      <w:r>
        <w:rPr>
          <w:b/>
          <w:sz w:val="26"/>
        </w:rPr>
        <w:t>Jose Antonio Vilar</w:t>
      </w:r>
    </w:p>
    <w:p w14:paraId="4BE984E0" w14:textId="21EE6EA4" w:rsidR="0056252B" w:rsidRDefault="00000000">
      <w:pPr>
        <w:spacing w:after="80"/>
        <w:jc w:val="center"/>
      </w:pPr>
      <w:proofErr w:type="spellStart"/>
      <w:r>
        <w:t>Profesional</w:t>
      </w:r>
      <w:proofErr w:type="spellEnd"/>
      <w:r>
        <w:t xml:space="preserve"> </w:t>
      </w:r>
      <w:r w:rsidR="0016237B">
        <w:t xml:space="preserve">IT </w:t>
      </w:r>
      <w:proofErr w:type="spellStart"/>
      <w:r w:rsidR="0016237B">
        <w:t>en</w:t>
      </w:r>
      <w:proofErr w:type="spellEnd"/>
      <w:r w:rsidR="0016237B">
        <w:t xml:space="preserve"> la Universidad Politécnica de Madrid</w:t>
      </w:r>
      <w:r>
        <w:t xml:space="preserve"> · </w:t>
      </w:r>
      <w:proofErr w:type="spellStart"/>
      <w:r>
        <w:t>Estudiante</w:t>
      </w:r>
      <w:proofErr w:type="spellEnd"/>
      <w:r>
        <w:t xml:space="preserve"> de Grado en Ciencia de Datos, UOC</w:t>
      </w:r>
    </w:p>
    <w:p w14:paraId="589B6FC6" w14:textId="1848E2E1" w:rsidR="004710CF" w:rsidRDefault="00BC5724" w:rsidP="004710CF">
      <w:pPr>
        <w:spacing w:after="600" w:line="480" w:lineRule="auto"/>
        <w:jc w:val="center"/>
        <w:rPr>
          <w:i/>
          <w:sz w:val="20"/>
        </w:rPr>
      </w:pPr>
      <w:proofErr w:type="spellStart"/>
      <w:proofErr w:type="gramStart"/>
      <w:r>
        <w:rPr>
          <w:i/>
          <w:sz w:val="20"/>
        </w:rPr>
        <w:t>q</w:t>
      </w:r>
      <w:r w:rsidR="009F22BD">
        <w:rPr>
          <w:i/>
          <w:sz w:val="20"/>
        </w:rPr>
        <w:t>metrika</w:t>
      </w:r>
      <w:proofErr w:type="spellEnd"/>
      <w:r>
        <w:rPr>
          <w:i/>
          <w:sz w:val="20"/>
        </w:rPr>
        <w:t>[</w:t>
      </w:r>
      <w:r w:rsidR="004710CF">
        <w:rPr>
          <w:i/>
          <w:sz w:val="20"/>
        </w:rPr>
        <w:t>@</w:t>
      </w:r>
      <w:r>
        <w:rPr>
          <w:i/>
          <w:sz w:val="20"/>
        </w:rPr>
        <w:t>]</w:t>
      </w:r>
      <w:r w:rsidR="009F22BD">
        <w:rPr>
          <w:i/>
          <w:sz w:val="20"/>
        </w:rPr>
        <w:t>proton.me</w:t>
      </w:r>
      <w:proofErr w:type="gramEnd"/>
    </w:p>
    <w:p w14:paraId="5E1BD612" w14:textId="77777777" w:rsidR="0056252B" w:rsidRDefault="00000000">
      <w:pPr>
        <w:spacing w:after="600"/>
        <w:jc w:val="center"/>
      </w:pPr>
      <w:r>
        <w:t>Marzo 2026</w:t>
      </w:r>
    </w:p>
    <w:p w14:paraId="6CF053E4" w14:textId="77777777" w:rsidR="0056252B" w:rsidRDefault="00000000">
      <w:pPr>
        <w:spacing w:before="80" w:after="80"/>
        <w:jc w:val="center"/>
      </w:pPr>
      <w:r>
        <w:rPr>
          <w:color w:val="B4B4B4"/>
          <w:sz w:val="16"/>
        </w:rPr>
        <w:t>────────────────────────────────────────────────────────────────────────</w:t>
      </w:r>
    </w:p>
    <w:p w14:paraId="5ACF4C7C" w14:textId="77777777" w:rsidR="0056252B" w:rsidRDefault="00000000">
      <w:pPr>
        <w:spacing w:before="320" w:after="80"/>
        <w:jc w:val="center"/>
      </w:pPr>
      <w:r>
        <w:rPr>
          <w:i/>
          <w:sz w:val="20"/>
        </w:rPr>
        <w:t>Clasificación JEL: G11 · G12 · O33 · Q02</w:t>
      </w:r>
    </w:p>
    <w:p w14:paraId="5DB61839" w14:textId="77777777" w:rsidR="0056252B" w:rsidRDefault="00000000">
      <w:pPr>
        <w:spacing w:after="80"/>
        <w:jc w:val="center"/>
      </w:pPr>
      <w:r>
        <w:rPr>
          <w:i/>
          <w:sz w:val="20"/>
        </w:rPr>
        <w:t>Palabras clave: construcción de cartera, autorreplicación, escasez de recursos, Bitcoin, inteligencia artificial, modelo logístico</w:t>
      </w:r>
    </w:p>
    <w:p w14:paraId="2DCC211E" w14:textId="77777777" w:rsidR="0056252B" w:rsidRDefault="00000000">
      <w:r>
        <w:br w:type="page"/>
      </w:r>
    </w:p>
    <w:p w14:paraId="0B1F50A5" w14:textId="77777777" w:rsidR="0056252B" w:rsidRDefault="00000000">
      <w:pPr>
        <w:pStyle w:val="Ttulo1"/>
      </w:pPr>
      <w:r>
        <w:lastRenderedPageBreak/>
        <w:t>Abstract</w:t>
      </w:r>
    </w:p>
    <w:p w14:paraId="4B658E20" w14:textId="77777777" w:rsidR="0056252B" w:rsidRDefault="00000000">
      <w:pPr>
        <w:spacing w:after="120"/>
        <w:jc w:val="both"/>
      </w:pPr>
      <w:r>
        <w:rPr>
          <w:i/>
        </w:rPr>
        <w:t>This paper proposes a mathematical framework for constructing a long-term investment portfolio at the intersection of accelerating artificial intelligence and physical resource scarcity. The Scarcity and Resilience model is introduced, V(t) = Capital × (1+r)^t × Φ_L(t)/Φ_L(0), where r is the AI ecosystem growth rate (calibrated via the Philadelphia Semiconductor Index, SOX) and Φ_L(t) = 1 + K/(1+e^(−γ(t−t₀))) is a logistic autoreplication factor governed by three independently calibrable parameters: K (maximum replication multiplier), γ (adoption velocity, calibrated via major LLM release cadence), and t₀ (inflection year). The portfolio is structured across five thesis pillars: Digital Scarcity (Bitcoin), AI Autoreplication (semiconductors, robotics), Energy/Grid (uranium, smart grid utilities), Physical Scarcity (copper, gold), and Resilience (global equity funds). The paper further introduces the SOX/Copper Correlation as a paradigm-shift detector whose Divergence state (SOX rising, Copper falling) marks the empirical t₀, triggering portfolio rotation from physical to digital scarcity assets. The framework is falsifiable: if AI adoption stalls, Φ_L → 1 and the model reduces to standard compound growth.</w:t>
      </w:r>
    </w:p>
    <w:p w14:paraId="120A46B5" w14:textId="77777777" w:rsidR="0056252B" w:rsidRDefault="0056252B"/>
    <w:p w14:paraId="2F474281" w14:textId="77777777" w:rsidR="0056252B" w:rsidRDefault="00000000">
      <w:pPr>
        <w:pStyle w:val="Ttulo1"/>
      </w:pPr>
      <w:r>
        <w:t>Resumen</w:t>
      </w:r>
    </w:p>
    <w:p w14:paraId="5BCF23E8" w14:textId="77777777" w:rsidR="0056252B" w:rsidRDefault="00000000">
      <w:pPr>
        <w:spacing w:after="120"/>
        <w:jc w:val="both"/>
      </w:pPr>
      <w:r>
        <w:rPr>
          <w:i/>
        </w:rPr>
        <w:t>Este artículo propone un marco matemático para la construcción de una cartera de inversión a largo plazo en la intersección de la aceleración de la inteligencia artificial y la escasez de recursos físicos. Se presenta el modelo Escasez y Resiliencia, V(t) = Capital × (1+r)^t × Φ_L(t)/Φ_L(0), donde r es la tasa de crecimiento del ecosistema de IA (calibrada mediante el índice SOX) y Φ_L(t) = 1 + K/(1+e^(−γ(t−t₀))) es un factor de autorreplicación logístico gobernado por tres parámetros calibrables de forma independiente: K (multiplicador máximo de autorreplicación), γ (velocidad de adopción, calibrada desde la cadencia de releases LLM) y t₀ (año de inflexión). La cartera se estructura en cinco pilares: Escasez Digital (Bitcoin), Autorreplicación IA (semiconductores, robótica), Energía/Grid (uranio, utilities de smart grid), Escasez Física (cobre, oro) y Resiliencia (fondos indexados globales). Se presenta además la Correlación SOX/Cobre como detector de cambio de paradigma, cuyo estado de Divergencia marca empíricamente t₀ y activa la rotación táctica de la cartera. El modelo es falsificable: si la adopción de IA se estanca, Φ_L → 1 y el modelo converge al crecimiento compuesto estándar.</w:t>
      </w:r>
    </w:p>
    <w:p w14:paraId="34A15B57" w14:textId="77777777" w:rsidR="0056252B" w:rsidRDefault="00000000">
      <w:r>
        <w:br w:type="page"/>
      </w:r>
    </w:p>
    <w:p w14:paraId="2D39ED33" w14:textId="77777777" w:rsidR="0056252B" w:rsidRDefault="00000000">
      <w:pPr>
        <w:pStyle w:val="Ttulo1"/>
      </w:pPr>
      <w:r>
        <w:lastRenderedPageBreak/>
        <w:t>1. Introducción</w:t>
      </w:r>
    </w:p>
    <w:p w14:paraId="224D9A24" w14:textId="77777777" w:rsidR="0056252B" w:rsidRDefault="00000000">
      <w:pPr>
        <w:pStyle w:val="Ttulo2"/>
      </w:pPr>
      <w:r>
        <w:t>1.1 Origen: la intuición precede al modelo</w:t>
      </w:r>
    </w:p>
    <w:p w14:paraId="161F1E0A" w14:textId="77777777" w:rsidR="0056252B" w:rsidRDefault="00000000">
      <w:pPr>
        <w:spacing w:after="120"/>
        <w:jc w:val="both"/>
      </w:pPr>
      <w:r>
        <w:t>Este paper surge de un proceso inverso al habitual en la investigación académica financiera. El punto de partida no fue una hipótesis teórica que se buscó contrastar empíricamente, sino una cartera de inversión real, construida a lo largo de varios años a partir de una intuición sobre la estructura del mercado durante la década de los años veinte del siglo XXI. El modelo matemático presentado en las secciones siguientes fue desarrollado con posterioridad, con el objetivo de formalizar esa intuición, identificar sus supuestos implícitos, calibrar sus parámetros y determinar las condiciones bajo las cuales la tesis podría ser falsificada.</w:t>
      </w:r>
    </w:p>
    <w:p w14:paraId="42D019A2" w14:textId="77777777" w:rsidR="0056252B" w:rsidRDefault="00000000">
      <w:pPr>
        <w:spacing w:after="120"/>
        <w:jc w:val="both"/>
      </w:pPr>
      <w:r>
        <w:t>Esta secuencia — cartera primero, modelo después — no es infrecuente en finanzas. Benjamin Graham formalizó los principios del value investing décadas después de aplicarlos con éxito como gestor. Harry Markowitz desarrolló la teoría moderna de carteras (1952) a partir de observaciones prácticas sobre la relación entre diversificación y riesgo. La presente contribución es más modesta en sus pretensiones, pero sigue la misma lógica: el modelo es un instrumento de disciplina y comunicación de una convicción inversora, no una predicción.</w:t>
      </w:r>
    </w:p>
    <w:p w14:paraId="447437F0" w14:textId="77777777" w:rsidR="0056252B" w:rsidRDefault="00000000">
      <w:pPr>
        <w:spacing w:after="120"/>
        <w:jc w:val="both"/>
      </w:pPr>
      <w:r>
        <w:t>La declaración de conflicto de interés relevante es la siguiente: el autor mantiene posiciones en todos los activos mencionados en el paper. La cartera fue construida antes de que existiera el modelo matemático que aquí se presenta. El lector debe interpretar el framework propuesto como la racionalización post-hoc de una intuición, no como un sistema de selección de activos derivado deductivamente de axiomas independientes.</w:t>
      </w:r>
    </w:p>
    <w:p w14:paraId="3992D518" w14:textId="77777777" w:rsidR="0056252B" w:rsidRDefault="00000000">
      <w:pPr>
        <w:pStyle w:val="Ttulo2"/>
      </w:pPr>
      <w:r>
        <w:t>1.2 La intuición central</w:t>
      </w:r>
    </w:p>
    <w:p w14:paraId="5105CA91" w14:textId="77777777" w:rsidR="0056252B" w:rsidRDefault="00000000">
      <w:pPr>
        <w:spacing w:after="120"/>
        <w:jc w:val="both"/>
      </w:pPr>
      <w:r>
        <w:t>La intuición que motivó la construcción de la cartera puede enunciarse en dos proposiciones:</w:t>
      </w:r>
    </w:p>
    <w:p w14:paraId="6638F623" w14:textId="77777777" w:rsidR="0056252B" w:rsidRDefault="00000000">
      <w:pPr>
        <w:pStyle w:val="Listaconvietas"/>
        <w:spacing w:after="60"/>
        <w:ind w:left="567"/>
        <w:jc w:val="both"/>
      </w:pPr>
      <w:r>
        <w:t>Proposición 1 — Ventana de complementariedad: durante el período de despliegue masivo de la inteligencia artificial (aproximadamente 2020-2035), la demanda de activos de escasez física (cobre, uranio, metales preciosos) y de activos de escasez digital (Bitcoin) crece simultáneamente, porque la IA necesita infraestructura física para entrenarse y ejecutarse, y al mismo tiempo genera devaluación monetaria a través de la aceleración de la productividad.</w:t>
      </w:r>
    </w:p>
    <w:p w14:paraId="32479846" w14:textId="77777777" w:rsidR="0056252B" w:rsidRDefault="00000000">
      <w:pPr>
        <w:pStyle w:val="Listaconvietas"/>
        <w:spacing w:after="60"/>
        <w:ind w:left="567"/>
        <w:jc w:val="both"/>
      </w:pPr>
      <w:r>
        <w:t>Proposición 2 — Cambio de paradigma detectable: existe un indicador de mercado observable que señala el fin de esta ventana de complementariedad: la Divergencia SOX/Cobre, definida como el momento en que el índice de semiconductores sigue apreciándose mientras el precio del cobre inicia una tendencia bajista estructural. Dicha divergencia indicaría que la IA ha comenzado a miniaturizar o sustituir su demanda de materiales físicos.</w:t>
      </w:r>
    </w:p>
    <w:p w14:paraId="7FA97D0F" w14:textId="77777777" w:rsidR="0056252B" w:rsidRDefault="00000000">
      <w:pPr>
        <w:spacing w:after="120"/>
        <w:jc w:val="both"/>
      </w:pPr>
      <w:r>
        <w:t>El modelo matemático presentado en este paper tiene como único propósito formalizar estas dos proposiciones de manera que sean calibrables, comparables entre escenarios y, crucialmente, falsificables.</w:t>
      </w:r>
    </w:p>
    <w:p w14:paraId="242F9B2B" w14:textId="77777777" w:rsidR="0056252B" w:rsidRDefault="00000000">
      <w:pPr>
        <w:pStyle w:val="Ttulo2"/>
      </w:pPr>
      <w:r>
        <w:t>1.3 La tensión física-digital y la pregunta central</w:t>
      </w:r>
    </w:p>
    <w:p w14:paraId="516077B1" w14:textId="77777777" w:rsidR="0056252B" w:rsidRDefault="00000000">
      <w:pPr>
        <w:spacing w:after="120"/>
        <w:jc w:val="both"/>
      </w:pPr>
      <w:r>
        <w:t xml:space="preserve">La convergencia entre la aceleración exponencial de la inteligencia artificial y la escasez estructural de recursos físicos plantea una de las tensiones económicas más relevantes de la próxima década. Por un lado, el despliegue masivo de centros de datos, la fabricación de chips avanzados y la electrificación global de la industria generan una demanda sin precedentes de </w:t>
      </w:r>
      <w:r>
        <w:lastRenderedPageBreak/>
        <w:t>materiales como el cobre, el uranio y los metales preciosos (IEA, 2021). Por otro, la propia IA está acelerando los ciclos de innovación en materiales, miniaturización y eficiencia energética (Brynjolfsson y McAfee, 2014), lo que podría reducir esa demanda física en el futuro.</w:t>
      </w:r>
    </w:p>
    <w:p w14:paraId="7CDCAE8B" w14:textId="77777777" w:rsidR="0056252B" w:rsidRDefault="00000000">
      <w:pPr>
        <w:spacing w:after="120"/>
        <w:jc w:val="both"/>
      </w:pPr>
      <w:r>
        <w:t>¿Cuándo la IA dejará de necesitar "hierro"? Esta es la pregunta central que articula la tesis. La hipótesis de trabajo es que existe una ventana temporal, de duración incierta pero finita, durante la cual ambas categorías de activos se aprecian simultáneamente. Identificar el inicio del fin de esa ventana — con suficiente antelación para rotar la cartera — es el objetivo estratégico del framework.</w:t>
      </w:r>
    </w:p>
    <w:p w14:paraId="39210441" w14:textId="77777777" w:rsidR="0056252B" w:rsidRDefault="00000000">
      <w:pPr>
        <w:spacing w:after="120"/>
        <w:jc w:val="both"/>
      </w:pPr>
      <w:r>
        <w:t>El paper se estructura del siguiente modo: la Sección 2 presenta el modelo matemático y el factor de autorreplicación logístico Φ_L(t). La Sección 3 describe los cinco pilares de la cartera. La Sección 4 introduce la Correlación SOX/Cobre como detector de cambio de paradigma. La Sección 5 desarrolla la calibración de parámetros. La Sección 6 proyecta los tres escenarios. La Sección 7 analiza los factores de riesgo y limitaciones. La Sección 8 concluye.</w:t>
      </w:r>
    </w:p>
    <w:p w14:paraId="42AD11E5" w14:textId="77777777" w:rsidR="0056252B" w:rsidRDefault="00000000">
      <w:pPr>
        <w:pStyle w:val="Ttulo1"/>
      </w:pPr>
      <w:r>
        <w:t>2. El Modelo Matemático: Escasez y Resiliencia</w:t>
      </w:r>
    </w:p>
    <w:p w14:paraId="049467B2" w14:textId="77777777" w:rsidR="0056252B" w:rsidRDefault="00000000">
      <w:pPr>
        <w:pStyle w:val="Ttulo2"/>
      </w:pPr>
      <w:r>
        <w:t>2.1 Formulación general</w:t>
      </w:r>
    </w:p>
    <w:p w14:paraId="4C5AC18C" w14:textId="77777777" w:rsidR="0056252B" w:rsidRDefault="00000000">
      <w:pPr>
        <w:spacing w:after="120"/>
        <w:jc w:val="both"/>
      </w:pPr>
      <w:r>
        <w:t>El modelo propone que el valor de la cartera en el momento t viene dado por:</w:t>
      </w:r>
    </w:p>
    <w:p w14:paraId="50C0064E" w14:textId="77777777" w:rsidR="0056252B" w:rsidRDefault="00000000">
      <w:pPr>
        <w:spacing w:before="120" w:after="120"/>
        <w:jc w:val="center"/>
      </w:pPr>
      <w:r>
        <w:rPr>
          <w:rFonts w:ascii="Courier New" w:hAnsi="Courier New"/>
          <w:b/>
          <w:sz w:val="24"/>
        </w:rPr>
        <w:t>V(t)  =  Capital  ×  (1 + r_IA)^t  ×  Φ_L(t) / Φ_L(0)</w:t>
      </w:r>
    </w:p>
    <w:p w14:paraId="71BEAE22" w14:textId="77777777" w:rsidR="0056252B" w:rsidRDefault="00000000">
      <w:pPr>
        <w:spacing w:after="120"/>
        <w:jc w:val="both"/>
      </w:pPr>
      <w:r>
        <w:t>donde V(t) es el valor proyectado de la cartera en el año t, Capital es el valor actual de la cartera, r_IA es la tasa de crecimiento anual del ecosistema de inteligencia artificial (calibrada desde el índice SOX), y Φ_L(t)/Φ_L(0) es el factor de autorreplicación normalizado, que captura la aceleración no lineal producida por la automejora de sistemas de IA. La normalización por Φ_L(0) garantiza que V(0) = Capital.</w:t>
      </w:r>
    </w:p>
    <w:p w14:paraId="3B2B395A" w14:textId="77777777" w:rsidR="0056252B" w:rsidRDefault="00000000">
      <w:pPr>
        <w:spacing w:after="120"/>
        <w:jc w:val="both"/>
      </w:pPr>
      <w:r>
        <w:t>El componente (1+r_IA)^t es el factor de crecimiento compuesto estándar, análogo al utilizado en modelos de valoración de activos de crecimiento. Cuando Φ_L(t)/Φ_L(0) = 1 para todo t, el modelo converge al crecimiento compuesto estándar — esta es la hipótesis nula que el modelo debe superar empíricamente para ser útil.</w:t>
      </w:r>
    </w:p>
    <w:p w14:paraId="0443F3DC" w14:textId="77777777" w:rsidR="0056252B" w:rsidRDefault="00000000">
      <w:pPr>
        <w:pStyle w:val="Ttulo2"/>
      </w:pPr>
      <w:r>
        <w:t>2.2 El factor de autorreplicación Φ(t): modelo logístico</w:t>
      </w:r>
    </w:p>
    <w:p w14:paraId="3DEF014F" w14:textId="77777777" w:rsidR="0056252B" w:rsidRDefault="00000000">
      <w:pPr>
        <w:spacing w:after="120"/>
        <w:jc w:val="both"/>
      </w:pPr>
      <w:r>
        <w:t>El modelo adopta una curva logística (S-curve) para Φ_L(t), siguiendo la tradición de los modelos de difusión tecnológica de Bass (1969) y Rogers (1962). Esta elección asegura crecimiento acotado, falsificabilidad y calibración independiente de cada parámetro. La formulación es:</w:t>
      </w:r>
    </w:p>
    <w:p w14:paraId="15120AFE" w14:textId="77777777" w:rsidR="0056252B" w:rsidRDefault="00000000">
      <w:pPr>
        <w:spacing w:before="120" w:after="120"/>
        <w:jc w:val="center"/>
      </w:pPr>
      <w:r>
        <w:rPr>
          <w:rFonts w:ascii="Courier New" w:hAnsi="Courier New"/>
          <w:b/>
          <w:sz w:val="24"/>
        </w:rPr>
        <w:t>Φ_L(t)  =  1  +  K / (1 + e^(−γ·(t − t₀)))</w:t>
      </w:r>
    </w:p>
    <w:p w14:paraId="703C7D33" w14:textId="77777777" w:rsidR="0056252B" w:rsidRDefault="00000000">
      <w:pPr>
        <w:spacing w:after="120"/>
        <w:jc w:val="both"/>
      </w:pPr>
      <w:r>
        <w:t>donde K es el multiplicador máximo de autorreplicación (cuánto amplifica la IA el crecimiento base en su estado maduro), γ es la velocidad de adopción (cuánto tarda el ecosistema en alcanzar la máxima aceleración), y t₀ es el año de inflexión (el punto de máxima aceleración del paradigma). La formulación logística tiene tres propiedades fundamentales:</w:t>
      </w:r>
    </w:p>
    <w:p w14:paraId="5B9BFFF1" w14:textId="77777777" w:rsidR="0056252B" w:rsidRDefault="00000000">
      <w:pPr>
        <w:pStyle w:val="Listaconvietas"/>
        <w:spacing w:after="60"/>
        <w:ind w:left="567"/>
        <w:jc w:val="both"/>
      </w:pPr>
      <w:r>
        <w:t>Tiene techo: cuando t → ∞, Φ_L → 1 + K. La autorreplicación no puede crecer indefinidamente — tiene un límite termodinámico, económico y regulatorio.</w:t>
      </w:r>
    </w:p>
    <w:p w14:paraId="0AB6A87B" w14:textId="77777777" w:rsidR="0056252B" w:rsidRDefault="00000000">
      <w:pPr>
        <w:pStyle w:val="Listaconvietas"/>
        <w:spacing w:after="60"/>
        <w:ind w:left="567"/>
        <w:jc w:val="both"/>
      </w:pPr>
      <w:r>
        <w:lastRenderedPageBreak/>
        <w:t>Tiene inflexión observable: t₀ es el año en que la aceleración es máxima. Es el momento en que la señal SOX/Cobre debe detectar la Divergencia. Los tres parámetros son independientes y calibrables por separado.</w:t>
      </w:r>
    </w:p>
    <w:p w14:paraId="1C6A27B0" w14:textId="77777777" w:rsidR="0056252B" w:rsidRDefault="00000000">
      <w:pPr>
        <w:pStyle w:val="Listaconvietas"/>
        <w:spacing w:after="60"/>
        <w:ind w:left="567"/>
        <w:jc w:val="both"/>
      </w:pPr>
      <w:r>
        <w:t>Es falsificable: si el ecosistema no acelera como se espera, Φ_L(t) converge hacia 1 (sin autorreplicación), produciendo proyecciones conservadoras en lugar de extrapolaciones especulativas.</w:t>
      </w:r>
    </w:p>
    <w:p w14:paraId="2F815CD6" w14:textId="77777777" w:rsidR="0056252B" w:rsidRDefault="00000000">
      <w:pPr>
        <w:pStyle w:val="Ttulo2"/>
      </w:pPr>
      <w:r>
        <w:t>2.3 Función de valor por categoría</w:t>
      </w:r>
    </w:p>
    <w:p w14:paraId="10D345AD" w14:textId="77777777" w:rsidR="0056252B" w:rsidRDefault="00000000">
      <w:pPr>
        <w:spacing w:after="120"/>
        <w:jc w:val="both"/>
      </w:pPr>
      <w:r>
        <w:t>Dado que cada pilar de la cartera tiene una exposición diferencial al factor de autorreplicación, el modelo se aplica también por categoría de activo, con parámetros K_cat y γ_cat específicos que reflejan su distinta velocidad y magnitud de adopción del paradigma de IA:</w:t>
      </w:r>
    </w:p>
    <w:p w14:paraId="1424BFB6" w14:textId="77777777" w:rsidR="0056252B" w:rsidRDefault="00000000">
      <w:pPr>
        <w:spacing w:before="120" w:after="120"/>
        <w:jc w:val="center"/>
      </w:pPr>
      <w:r>
        <w:rPr>
          <w:rFonts w:ascii="Courier New" w:hAnsi="Courier New"/>
          <w:b/>
          <w:sz w:val="24"/>
        </w:rPr>
        <w:t>V_cat(t)  =  V_cat(0)  ×  (1 + r_cat)^t  ×  Φ_L(t; K_cat, γ_cat, t₀_cat)</w:t>
      </w:r>
    </w:p>
    <w:p w14:paraId="60DB75FE" w14:textId="77777777" w:rsidR="0056252B" w:rsidRDefault="00000000">
      <w:pPr>
        <w:spacing w:after="120"/>
        <w:jc w:val="both"/>
      </w:pPr>
      <w:r>
        <w:t>La Tabla 1 resume los parámetros estimados por categoría. Los valores de K representan el multiplicador máximo de autorreplicación atribuible a cada pilar. Los valores de γ_base y γ_opt corresponden a los escenarios Base y Óptimo respectivamente.</w:t>
      </w:r>
    </w:p>
    <w:p w14:paraId="5E4A790C" w14:textId="77777777" w:rsidR="0056252B" w:rsidRDefault="0056252B"/>
    <w:tbl>
      <w:tblPr>
        <w:tblStyle w:val="Tablaconcuadrcula"/>
        <w:tblW w:w="0" w:type="auto"/>
        <w:jc w:val="center"/>
        <w:tblLook w:val="04A0" w:firstRow="1" w:lastRow="0" w:firstColumn="1" w:lastColumn="0" w:noHBand="0" w:noVBand="1"/>
      </w:tblPr>
      <w:tblGrid>
        <w:gridCol w:w="2381"/>
        <w:gridCol w:w="794"/>
        <w:gridCol w:w="794"/>
        <w:gridCol w:w="964"/>
        <w:gridCol w:w="850"/>
        <w:gridCol w:w="2721"/>
      </w:tblGrid>
      <w:tr w:rsidR="0056252B" w14:paraId="49FC8D7B" w14:textId="77777777">
        <w:trPr>
          <w:jc w:val="center"/>
        </w:trPr>
        <w:tc>
          <w:tcPr>
            <w:tcW w:w="2381" w:type="dxa"/>
            <w:shd w:val="clear" w:color="auto" w:fill="D9D9D9"/>
          </w:tcPr>
          <w:p w14:paraId="6A12B126" w14:textId="77777777" w:rsidR="0056252B" w:rsidRDefault="00000000">
            <w:pPr>
              <w:jc w:val="center"/>
            </w:pPr>
            <w:r>
              <w:rPr>
                <w:b/>
                <w:sz w:val="20"/>
              </w:rPr>
              <w:t>Categoría</w:t>
            </w:r>
          </w:p>
        </w:tc>
        <w:tc>
          <w:tcPr>
            <w:tcW w:w="794" w:type="dxa"/>
            <w:shd w:val="clear" w:color="auto" w:fill="D9D9D9"/>
          </w:tcPr>
          <w:p w14:paraId="6A22FF4E" w14:textId="77777777" w:rsidR="0056252B" w:rsidRDefault="00000000">
            <w:pPr>
              <w:jc w:val="center"/>
            </w:pPr>
            <w:r>
              <w:rPr>
                <w:b/>
                <w:sz w:val="20"/>
              </w:rPr>
              <w:t>r_cat</w:t>
            </w:r>
          </w:p>
        </w:tc>
        <w:tc>
          <w:tcPr>
            <w:tcW w:w="794" w:type="dxa"/>
            <w:shd w:val="clear" w:color="auto" w:fill="D9D9D9"/>
          </w:tcPr>
          <w:p w14:paraId="5BA940E1" w14:textId="77777777" w:rsidR="0056252B" w:rsidRDefault="00000000">
            <w:pPr>
              <w:jc w:val="center"/>
            </w:pPr>
            <w:r>
              <w:rPr>
                <w:b/>
                <w:sz w:val="20"/>
              </w:rPr>
              <w:t>K Base</w:t>
            </w:r>
          </w:p>
        </w:tc>
        <w:tc>
          <w:tcPr>
            <w:tcW w:w="964" w:type="dxa"/>
            <w:shd w:val="clear" w:color="auto" w:fill="D9D9D9"/>
          </w:tcPr>
          <w:p w14:paraId="072AE703" w14:textId="77777777" w:rsidR="0056252B" w:rsidRDefault="00000000">
            <w:pPr>
              <w:jc w:val="center"/>
            </w:pPr>
            <w:r>
              <w:rPr>
                <w:b/>
                <w:sz w:val="20"/>
              </w:rPr>
              <w:t>K Óptimo</w:t>
            </w:r>
          </w:p>
        </w:tc>
        <w:tc>
          <w:tcPr>
            <w:tcW w:w="850" w:type="dxa"/>
            <w:shd w:val="clear" w:color="auto" w:fill="D9D9D9"/>
          </w:tcPr>
          <w:p w14:paraId="13ED0774" w14:textId="77777777" w:rsidR="0056252B" w:rsidRDefault="00000000">
            <w:pPr>
              <w:jc w:val="center"/>
            </w:pPr>
            <w:r>
              <w:rPr>
                <w:b/>
                <w:sz w:val="20"/>
              </w:rPr>
              <w:t>γ_base</w:t>
            </w:r>
          </w:p>
        </w:tc>
        <w:tc>
          <w:tcPr>
            <w:tcW w:w="2721" w:type="dxa"/>
            <w:shd w:val="clear" w:color="auto" w:fill="D9D9D9"/>
          </w:tcPr>
          <w:p w14:paraId="0743AACF" w14:textId="77777777" w:rsidR="0056252B" w:rsidRDefault="00000000">
            <w:pPr>
              <w:jc w:val="center"/>
            </w:pPr>
            <w:r>
              <w:rPr>
                <w:b/>
                <w:sz w:val="20"/>
              </w:rPr>
              <w:t>Pilar de la tesis</w:t>
            </w:r>
          </w:p>
        </w:tc>
      </w:tr>
      <w:tr w:rsidR="0056252B" w14:paraId="796037CB" w14:textId="77777777">
        <w:trPr>
          <w:jc w:val="center"/>
        </w:trPr>
        <w:tc>
          <w:tcPr>
            <w:tcW w:w="2381" w:type="dxa"/>
          </w:tcPr>
          <w:p w14:paraId="78CC900E" w14:textId="77777777" w:rsidR="0056252B" w:rsidRDefault="00000000">
            <w:r>
              <w:rPr>
                <w:sz w:val="20"/>
              </w:rPr>
              <w:t>Bitcoin / Crypto</w:t>
            </w:r>
          </w:p>
        </w:tc>
        <w:tc>
          <w:tcPr>
            <w:tcW w:w="794" w:type="dxa"/>
          </w:tcPr>
          <w:p w14:paraId="5ABF6A43" w14:textId="77777777" w:rsidR="0056252B" w:rsidRDefault="00000000">
            <w:pPr>
              <w:jc w:val="center"/>
            </w:pPr>
            <w:r>
              <w:rPr>
                <w:sz w:val="20"/>
              </w:rPr>
              <w:t>15%</w:t>
            </w:r>
          </w:p>
        </w:tc>
        <w:tc>
          <w:tcPr>
            <w:tcW w:w="794" w:type="dxa"/>
          </w:tcPr>
          <w:p w14:paraId="7C5C6BDF" w14:textId="77777777" w:rsidR="0056252B" w:rsidRDefault="00000000">
            <w:pPr>
              <w:jc w:val="center"/>
            </w:pPr>
            <w:r>
              <w:rPr>
                <w:sz w:val="20"/>
              </w:rPr>
              <w:t>2.0</w:t>
            </w:r>
          </w:p>
        </w:tc>
        <w:tc>
          <w:tcPr>
            <w:tcW w:w="964" w:type="dxa"/>
          </w:tcPr>
          <w:p w14:paraId="00A33A8F" w14:textId="77777777" w:rsidR="0056252B" w:rsidRDefault="00000000">
            <w:pPr>
              <w:jc w:val="center"/>
            </w:pPr>
            <w:r>
              <w:rPr>
                <w:sz w:val="20"/>
              </w:rPr>
              <w:t>6.0</w:t>
            </w:r>
          </w:p>
        </w:tc>
        <w:tc>
          <w:tcPr>
            <w:tcW w:w="850" w:type="dxa"/>
          </w:tcPr>
          <w:p w14:paraId="110A2CAF" w14:textId="77777777" w:rsidR="0056252B" w:rsidRDefault="00000000">
            <w:pPr>
              <w:jc w:val="center"/>
            </w:pPr>
            <w:r>
              <w:rPr>
                <w:sz w:val="20"/>
              </w:rPr>
              <w:t>0.5</w:t>
            </w:r>
          </w:p>
        </w:tc>
        <w:tc>
          <w:tcPr>
            <w:tcW w:w="2721" w:type="dxa"/>
          </w:tcPr>
          <w:p w14:paraId="4E60F9E9" w14:textId="77777777" w:rsidR="0056252B" w:rsidRDefault="00000000">
            <w:pPr>
              <w:jc w:val="center"/>
            </w:pPr>
            <w:r>
              <w:rPr>
                <w:sz w:val="20"/>
              </w:rPr>
              <w:t>Escasez monetaria digital</w:t>
            </w:r>
          </w:p>
        </w:tc>
      </w:tr>
      <w:tr w:rsidR="0056252B" w14:paraId="05DCAD42" w14:textId="77777777">
        <w:trPr>
          <w:jc w:val="center"/>
        </w:trPr>
        <w:tc>
          <w:tcPr>
            <w:tcW w:w="2381" w:type="dxa"/>
          </w:tcPr>
          <w:p w14:paraId="7B496EAA" w14:textId="77777777" w:rsidR="0056252B" w:rsidRDefault="00000000">
            <w:r>
              <w:rPr>
                <w:sz w:val="20"/>
              </w:rPr>
              <w:t>IA / Robótica</w:t>
            </w:r>
          </w:p>
        </w:tc>
        <w:tc>
          <w:tcPr>
            <w:tcW w:w="794" w:type="dxa"/>
          </w:tcPr>
          <w:p w14:paraId="4B275CA1" w14:textId="77777777" w:rsidR="0056252B" w:rsidRDefault="00000000">
            <w:pPr>
              <w:jc w:val="center"/>
            </w:pPr>
            <w:r>
              <w:rPr>
                <w:sz w:val="20"/>
              </w:rPr>
              <w:t>25%</w:t>
            </w:r>
          </w:p>
        </w:tc>
        <w:tc>
          <w:tcPr>
            <w:tcW w:w="794" w:type="dxa"/>
          </w:tcPr>
          <w:p w14:paraId="4019637B" w14:textId="77777777" w:rsidR="0056252B" w:rsidRDefault="00000000">
            <w:pPr>
              <w:jc w:val="center"/>
            </w:pPr>
            <w:r>
              <w:rPr>
                <w:sz w:val="20"/>
              </w:rPr>
              <w:t>4.0</w:t>
            </w:r>
          </w:p>
        </w:tc>
        <w:tc>
          <w:tcPr>
            <w:tcW w:w="964" w:type="dxa"/>
          </w:tcPr>
          <w:p w14:paraId="290A3B1B" w14:textId="77777777" w:rsidR="0056252B" w:rsidRDefault="00000000">
            <w:pPr>
              <w:jc w:val="center"/>
            </w:pPr>
            <w:r>
              <w:rPr>
                <w:sz w:val="20"/>
              </w:rPr>
              <w:t>9.0</w:t>
            </w:r>
          </w:p>
        </w:tc>
        <w:tc>
          <w:tcPr>
            <w:tcW w:w="850" w:type="dxa"/>
          </w:tcPr>
          <w:p w14:paraId="088A30FC" w14:textId="77777777" w:rsidR="0056252B" w:rsidRDefault="00000000">
            <w:pPr>
              <w:jc w:val="center"/>
            </w:pPr>
            <w:r>
              <w:rPr>
                <w:sz w:val="20"/>
              </w:rPr>
              <w:t>1.0</w:t>
            </w:r>
          </w:p>
        </w:tc>
        <w:tc>
          <w:tcPr>
            <w:tcW w:w="2721" w:type="dxa"/>
          </w:tcPr>
          <w:p w14:paraId="3885F389" w14:textId="77777777" w:rsidR="0056252B" w:rsidRDefault="00000000">
            <w:pPr>
              <w:jc w:val="center"/>
            </w:pPr>
            <w:r>
              <w:rPr>
                <w:sz w:val="20"/>
              </w:rPr>
              <w:t>Autorreplicación directa</w:t>
            </w:r>
          </w:p>
        </w:tc>
      </w:tr>
      <w:tr w:rsidR="0056252B" w14:paraId="6B7EDECD" w14:textId="77777777">
        <w:trPr>
          <w:jc w:val="center"/>
        </w:trPr>
        <w:tc>
          <w:tcPr>
            <w:tcW w:w="2381" w:type="dxa"/>
          </w:tcPr>
          <w:p w14:paraId="7DEF7252" w14:textId="77777777" w:rsidR="0056252B" w:rsidRDefault="00000000">
            <w:r>
              <w:rPr>
                <w:sz w:val="20"/>
              </w:rPr>
              <w:t>Energía / Nuclear+Grid</w:t>
            </w:r>
          </w:p>
        </w:tc>
        <w:tc>
          <w:tcPr>
            <w:tcW w:w="794" w:type="dxa"/>
          </w:tcPr>
          <w:p w14:paraId="6601C094" w14:textId="77777777" w:rsidR="0056252B" w:rsidRDefault="00000000">
            <w:pPr>
              <w:jc w:val="center"/>
            </w:pPr>
            <w:r>
              <w:rPr>
                <w:sz w:val="20"/>
              </w:rPr>
              <w:t>20%</w:t>
            </w:r>
          </w:p>
        </w:tc>
        <w:tc>
          <w:tcPr>
            <w:tcW w:w="794" w:type="dxa"/>
          </w:tcPr>
          <w:p w14:paraId="6C45D34B" w14:textId="77777777" w:rsidR="0056252B" w:rsidRDefault="00000000">
            <w:pPr>
              <w:jc w:val="center"/>
            </w:pPr>
            <w:r>
              <w:rPr>
                <w:sz w:val="20"/>
              </w:rPr>
              <w:t>2.5</w:t>
            </w:r>
          </w:p>
        </w:tc>
        <w:tc>
          <w:tcPr>
            <w:tcW w:w="964" w:type="dxa"/>
          </w:tcPr>
          <w:p w14:paraId="4DC7C2CE" w14:textId="77777777" w:rsidR="0056252B" w:rsidRDefault="00000000">
            <w:pPr>
              <w:jc w:val="center"/>
            </w:pPr>
            <w:r>
              <w:rPr>
                <w:sz w:val="20"/>
              </w:rPr>
              <w:t>5.0</w:t>
            </w:r>
          </w:p>
        </w:tc>
        <w:tc>
          <w:tcPr>
            <w:tcW w:w="850" w:type="dxa"/>
          </w:tcPr>
          <w:p w14:paraId="03893B85" w14:textId="77777777" w:rsidR="0056252B" w:rsidRDefault="00000000">
            <w:pPr>
              <w:jc w:val="center"/>
            </w:pPr>
            <w:r>
              <w:rPr>
                <w:sz w:val="20"/>
              </w:rPr>
              <w:t>0.7</w:t>
            </w:r>
          </w:p>
        </w:tc>
        <w:tc>
          <w:tcPr>
            <w:tcW w:w="2721" w:type="dxa"/>
          </w:tcPr>
          <w:p w14:paraId="42BD1942" w14:textId="77777777" w:rsidR="0056252B" w:rsidRDefault="00000000">
            <w:pPr>
              <w:jc w:val="center"/>
            </w:pPr>
            <w:r>
              <w:rPr>
                <w:sz w:val="20"/>
              </w:rPr>
              <w:t>Combustible de la tesis</w:t>
            </w:r>
          </w:p>
        </w:tc>
      </w:tr>
      <w:tr w:rsidR="0056252B" w14:paraId="2052E29E" w14:textId="77777777">
        <w:trPr>
          <w:jc w:val="center"/>
        </w:trPr>
        <w:tc>
          <w:tcPr>
            <w:tcW w:w="2381" w:type="dxa"/>
          </w:tcPr>
          <w:p w14:paraId="7D3658E7" w14:textId="77777777" w:rsidR="0056252B" w:rsidRDefault="00000000">
            <w:r>
              <w:rPr>
                <w:sz w:val="20"/>
              </w:rPr>
              <w:t>Metales (Cu, Au)</w:t>
            </w:r>
          </w:p>
        </w:tc>
        <w:tc>
          <w:tcPr>
            <w:tcW w:w="794" w:type="dxa"/>
          </w:tcPr>
          <w:p w14:paraId="28FD8E7B" w14:textId="77777777" w:rsidR="0056252B" w:rsidRDefault="00000000">
            <w:pPr>
              <w:jc w:val="center"/>
            </w:pPr>
            <w:r>
              <w:rPr>
                <w:sz w:val="20"/>
              </w:rPr>
              <w:t>10%</w:t>
            </w:r>
          </w:p>
        </w:tc>
        <w:tc>
          <w:tcPr>
            <w:tcW w:w="794" w:type="dxa"/>
          </w:tcPr>
          <w:p w14:paraId="224FC234" w14:textId="77777777" w:rsidR="0056252B" w:rsidRDefault="00000000">
            <w:pPr>
              <w:jc w:val="center"/>
            </w:pPr>
            <w:r>
              <w:rPr>
                <w:sz w:val="20"/>
              </w:rPr>
              <w:t>1.5</w:t>
            </w:r>
          </w:p>
        </w:tc>
        <w:tc>
          <w:tcPr>
            <w:tcW w:w="964" w:type="dxa"/>
          </w:tcPr>
          <w:p w14:paraId="68D9FD3C" w14:textId="77777777" w:rsidR="0056252B" w:rsidRDefault="00000000">
            <w:pPr>
              <w:jc w:val="center"/>
            </w:pPr>
            <w:r>
              <w:rPr>
                <w:sz w:val="20"/>
              </w:rPr>
              <w:t>3.0</w:t>
            </w:r>
          </w:p>
        </w:tc>
        <w:tc>
          <w:tcPr>
            <w:tcW w:w="850" w:type="dxa"/>
          </w:tcPr>
          <w:p w14:paraId="0DD4D76B" w14:textId="77777777" w:rsidR="0056252B" w:rsidRDefault="00000000">
            <w:pPr>
              <w:jc w:val="center"/>
            </w:pPr>
            <w:r>
              <w:rPr>
                <w:sz w:val="20"/>
              </w:rPr>
              <w:t>0.4</w:t>
            </w:r>
          </w:p>
        </w:tc>
        <w:tc>
          <w:tcPr>
            <w:tcW w:w="2721" w:type="dxa"/>
          </w:tcPr>
          <w:p w14:paraId="3958D793" w14:textId="77777777" w:rsidR="0056252B" w:rsidRDefault="00000000">
            <w:pPr>
              <w:jc w:val="center"/>
            </w:pPr>
            <w:r>
              <w:rPr>
                <w:sz w:val="20"/>
              </w:rPr>
              <w:t>Escasez física irreducible</w:t>
            </w:r>
          </w:p>
        </w:tc>
      </w:tr>
      <w:tr w:rsidR="0056252B" w14:paraId="62A4FCCA" w14:textId="77777777">
        <w:trPr>
          <w:jc w:val="center"/>
        </w:trPr>
        <w:tc>
          <w:tcPr>
            <w:tcW w:w="2381" w:type="dxa"/>
          </w:tcPr>
          <w:p w14:paraId="26CC946D" w14:textId="77777777" w:rsidR="0056252B" w:rsidRDefault="00000000">
            <w:r>
              <w:rPr>
                <w:sz w:val="20"/>
              </w:rPr>
              <w:t>Renta Variable Global</w:t>
            </w:r>
          </w:p>
        </w:tc>
        <w:tc>
          <w:tcPr>
            <w:tcW w:w="794" w:type="dxa"/>
          </w:tcPr>
          <w:p w14:paraId="1166E8F3" w14:textId="77777777" w:rsidR="0056252B" w:rsidRDefault="00000000">
            <w:pPr>
              <w:jc w:val="center"/>
            </w:pPr>
            <w:r>
              <w:rPr>
                <w:sz w:val="20"/>
              </w:rPr>
              <w:t>8%</w:t>
            </w:r>
          </w:p>
        </w:tc>
        <w:tc>
          <w:tcPr>
            <w:tcW w:w="794" w:type="dxa"/>
          </w:tcPr>
          <w:p w14:paraId="34037377" w14:textId="77777777" w:rsidR="0056252B" w:rsidRDefault="00000000">
            <w:pPr>
              <w:jc w:val="center"/>
            </w:pPr>
            <w:r>
              <w:rPr>
                <w:sz w:val="20"/>
              </w:rPr>
              <w:t>0.5</w:t>
            </w:r>
          </w:p>
        </w:tc>
        <w:tc>
          <w:tcPr>
            <w:tcW w:w="964" w:type="dxa"/>
          </w:tcPr>
          <w:p w14:paraId="0371771F" w14:textId="77777777" w:rsidR="0056252B" w:rsidRDefault="00000000">
            <w:pPr>
              <w:jc w:val="center"/>
            </w:pPr>
            <w:r>
              <w:rPr>
                <w:sz w:val="20"/>
              </w:rPr>
              <w:t>1.5</w:t>
            </w:r>
          </w:p>
        </w:tc>
        <w:tc>
          <w:tcPr>
            <w:tcW w:w="850" w:type="dxa"/>
          </w:tcPr>
          <w:p w14:paraId="32F3A067" w14:textId="77777777" w:rsidR="0056252B" w:rsidRDefault="00000000">
            <w:pPr>
              <w:jc w:val="center"/>
            </w:pPr>
            <w:r>
              <w:rPr>
                <w:sz w:val="20"/>
              </w:rPr>
              <w:t>0.3</w:t>
            </w:r>
          </w:p>
        </w:tc>
        <w:tc>
          <w:tcPr>
            <w:tcW w:w="2721" w:type="dxa"/>
          </w:tcPr>
          <w:p w14:paraId="475D557A" w14:textId="77777777" w:rsidR="0056252B" w:rsidRDefault="00000000">
            <w:pPr>
              <w:jc w:val="center"/>
            </w:pPr>
            <w:r>
              <w:rPr>
                <w:sz w:val="20"/>
              </w:rPr>
              <w:t>Resiliencia pasiva</w:t>
            </w:r>
          </w:p>
        </w:tc>
      </w:tr>
    </w:tbl>
    <w:p w14:paraId="6E82B88E" w14:textId="77777777" w:rsidR="0056252B" w:rsidRDefault="0056252B"/>
    <w:p w14:paraId="27EF245C" w14:textId="77777777" w:rsidR="0056252B" w:rsidRDefault="00000000">
      <w:pPr>
        <w:spacing w:after="120"/>
        <w:jc w:val="center"/>
      </w:pPr>
      <w:r>
        <w:rPr>
          <w:i/>
          <w:sz w:val="18"/>
        </w:rPr>
        <w:t>Tabla 1. Parámetros del modelo logístico por categoría de activo. K = multiplicador máximo de autorreplicación. γ = velocidad de adopción (calibrada desde cadencia LLM).</w:t>
      </w:r>
    </w:p>
    <w:p w14:paraId="1C52B22B" w14:textId="77777777" w:rsidR="0056252B" w:rsidRDefault="00000000">
      <w:pPr>
        <w:pStyle w:val="Ttulo1"/>
      </w:pPr>
      <w:r>
        <w:t>3. Los Cinco Pilares de la Cartera</w:t>
      </w:r>
    </w:p>
    <w:p w14:paraId="2B89DFCF" w14:textId="77777777" w:rsidR="0056252B" w:rsidRDefault="00000000">
      <w:pPr>
        <w:pStyle w:val="Ttulo2"/>
      </w:pPr>
      <w:r>
        <w:t>3.1 Escasez Digital: Bitcoin</w:t>
      </w:r>
    </w:p>
    <w:p w14:paraId="635BC6EA" w14:textId="77777777" w:rsidR="0056252B" w:rsidRDefault="00000000">
      <w:pPr>
        <w:spacing w:after="120"/>
        <w:jc w:val="both"/>
      </w:pPr>
      <w:r>
        <w:t>Bitcoin posee una oferta máxima de 21 millones de unidades, programada matemáticamente en su protocolo y no sujeta a discrecionalidad política ni tecnológica. En un entorno de creciente emisión monetaria fiat y de adopción institucional creciente, Bitcoin cumple la función de reserva de valor escasa de la misma forma que el oro en épocas anteriores, pero con el añadido de ser nativo del entorno digital donde la IA opera. La hipótesis adicional es que, en un escenario de agentes de IA operando de forma autónoma, Bitcoin se posiciona como la "moneda de las máquinas": un medio de intercambio que los sistemas de IA pueden utilizar sin intermediación humana ni riesgo de censura.</w:t>
      </w:r>
    </w:p>
    <w:p w14:paraId="52EADA1F" w14:textId="77777777" w:rsidR="0056252B" w:rsidRDefault="00000000">
      <w:pPr>
        <w:pStyle w:val="Ttulo2"/>
      </w:pPr>
      <w:r>
        <w:t>3.2 Autorreplicación IA: Semiconductores y Robótica</w:t>
      </w:r>
    </w:p>
    <w:p w14:paraId="16BEAC4F" w14:textId="77777777" w:rsidR="0056252B" w:rsidRDefault="00000000">
      <w:pPr>
        <w:spacing w:after="120"/>
        <w:jc w:val="both"/>
      </w:pPr>
      <w:r>
        <w:t xml:space="preserve">Los activos de semiconductores, inteligencia artificial y robótica son la exposición directa al factor de autorreplicación Φ_L(t) del modelo, y en particular al parámetro K — el multiplicador máximo de autorreplicación — que toma sus valores más elevados en esta categoría (K_base=4.0, K_opt=9.0, según Tabla 1). Las empresas que fabrican los chips sobre los que se </w:t>
      </w:r>
      <w:r>
        <w:lastRenderedPageBreak/>
        <w:t>entrena y ejecuta la IA, y las que desarrollan los robots que pueden eventualmente fabricar otros robots, son beneficiarias directas de la aceleración del ecosistema, cuya velocidad de adopción γ se calibra precisamente desde la cadencia de releases LLM. El índice SOX (Philadelphia Semiconductor Index) actúa como proxy de mercado del ritmo de inversión en capex de IA, siendo a su vez un indicador adelantado de la demanda energética futura.</w:t>
      </w:r>
    </w:p>
    <w:p w14:paraId="2BE50C65" w14:textId="77777777" w:rsidR="0056252B" w:rsidRDefault="00000000">
      <w:pPr>
        <w:pStyle w:val="Ttulo2"/>
      </w:pPr>
      <w:r>
        <w:t>3.3 Energía / Grid: Uranio y Utilities</w:t>
      </w:r>
    </w:p>
    <w:p w14:paraId="0D19534A" w14:textId="77777777" w:rsidR="0056252B" w:rsidRDefault="00000000">
      <w:pPr>
        <w:spacing w:after="120"/>
        <w:jc w:val="both"/>
      </w:pPr>
      <w:r>
        <w:t>El despliegue masivo de centros de datos de IA requiere energía continua, densa y predecible. La energía nuclear de fisión — especialmente los Small Modular Reactors (SMRs) y los reactores Gen-IV — se posiciona como la fuente más viable para satisfacer este requisito, dado que el gas natural introduce volatilidad de precio y las energías renovables no proporcionan la continuidad de suministro que requiere el cómputo de alto rendimiento. El uranio (proxy: Cameco, CCJ) es el input escaso de esta cadena. Las utilities estadounidenses (ETF XLU) se benefician de los Power Purchase Agreements (PPAs) firmados con hyperscalers como Google, Microsoft y Amazon.</w:t>
      </w:r>
    </w:p>
    <w:p w14:paraId="1F9CF422" w14:textId="77777777" w:rsidR="0056252B" w:rsidRDefault="00000000">
      <w:pPr>
        <w:spacing w:after="120"/>
        <w:jc w:val="both"/>
      </w:pPr>
      <w:r>
        <w:t>La incorporación de infraestructura de smart grid (redes eléctricas inteligentes) representa la capa de distribución de esta energía: sin redes capaces de gestionar flujos bidireccionales y demanda variable, la expansión del ecosistema de IA encuentra un cuello de botella físico.</w:t>
      </w:r>
    </w:p>
    <w:p w14:paraId="634E834F" w14:textId="77777777" w:rsidR="0056252B" w:rsidRDefault="00000000">
      <w:pPr>
        <w:pStyle w:val="Ttulo2"/>
      </w:pPr>
      <w:r>
        <w:t>3.4 Escasez Física: Cobre y Oro</w:t>
      </w:r>
    </w:p>
    <w:p w14:paraId="56104810" w14:textId="77777777" w:rsidR="0056252B" w:rsidRDefault="00000000">
      <w:pPr>
        <w:spacing w:after="120"/>
        <w:jc w:val="both"/>
      </w:pPr>
      <w:r>
        <w:t>El cobre es el material de la electrificación: cada robot, cada vehículo eléctrico, cada centro de datos y cada aerogenerador requiere cantidades significativas de cobre. La demanda estructural de cobre es, por tanto, una función directa del despliegue físico de la IA. El oro mantiene su función histórica de refugio de valor ante la devaluación monetaria y actúa como cobertura ante escenarios de inestabilidad macroeconómica que podrían interrumpir la tesis principal.</w:t>
      </w:r>
    </w:p>
    <w:p w14:paraId="49A969E6" w14:textId="77777777" w:rsidR="0056252B" w:rsidRDefault="00000000">
      <w:pPr>
        <w:pStyle w:val="Ttulo2"/>
      </w:pPr>
      <w:r>
        <w:t>3.5 Resiliencia: Renta Variable Global</w:t>
      </w:r>
    </w:p>
    <w:p w14:paraId="03507F77" w14:textId="77777777" w:rsidR="0056252B" w:rsidRDefault="00000000">
      <w:pPr>
        <w:spacing w:after="120"/>
        <w:jc w:val="both"/>
      </w:pPr>
      <w:r>
        <w:t>La inclusión de fondos indexados globales (MSCI World, S&amp;P 500) cumple una función de resiliencia: si la tesis principal resulta incorrecta en sus parámetros temporales, la cartera mantiene exposición al crecimiento económico general. Esta categoría actúa como amortiguador ante escenarios de desaceleración del ecosistema de IA que no impliquen una recesión generalizada.</w:t>
      </w:r>
    </w:p>
    <w:p w14:paraId="4236A2B7" w14:textId="77777777" w:rsidR="0056252B" w:rsidRDefault="00000000">
      <w:pPr>
        <w:pStyle w:val="Ttulo1"/>
      </w:pPr>
      <w:r>
        <w:t>4. La Correlación SOX/Cobre: Detector de Cambio de Paradigma</w:t>
      </w:r>
    </w:p>
    <w:p w14:paraId="450D1FF2" w14:textId="77777777" w:rsidR="0056252B" w:rsidRDefault="00000000">
      <w:pPr>
        <w:spacing w:after="120"/>
        <w:jc w:val="both"/>
      </w:pPr>
      <w:r>
        <w:t>El indicador más relevante para la gestión dinámica de la cartera es la correlación entre el rendimiento mensual del índice SOX (semiconductores) y el precio del cobre (HG1!, contrato de futuros de cobre de primer vencimiento). Esta correlación actúa como detector de cambio de paradigma tecnológico.</w:t>
      </w:r>
    </w:p>
    <w:p w14:paraId="238F731D" w14:textId="77777777" w:rsidR="0056252B" w:rsidRDefault="00000000">
      <w:pPr>
        <w:spacing w:after="120"/>
        <w:jc w:val="both"/>
      </w:pPr>
      <w:r>
        <w:t xml:space="preserve">La lógica es la siguiente: durante la "Era de Construcción" — el período actual, en el que la IA requiere masiva infraestructura física para entrenar y desplegar modelos — ambos activos se aprecian simultáneamente, ya que la demanda de chips y la demanda de cobre son complementarias. Sin embargo, existe un punto de inflexión potencial: cuando la IA alcance suficiente capacidad de miniaturización y diseño de materiales como para sustituir o reducir significativamente el uso de cobre (y otros metales críticos), el SOX puede continuar su </w:t>
      </w:r>
      <w:r>
        <w:lastRenderedPageBreak/>
        <w:t>apreciación mientras el cobre inicia un ciclo bajista. Este es el momento de rotar fuera de las posiciones en metales y concentrar el capital en los activos de autorreplicación.</w:t>
      </w:r>
    </w:p>
    <w:p w14:paraId="513FDE19" w14:textId="77777777" w:rsidR="0056252B" w:rsidRDefault="0056252B"/>
    <w:tbl>
      <w:tblPr>
        <w:tblStyle w:val="Tablaconcuadrcula"/>
        <w:tblW w:w="0" w:type="auto"/>
        <w:jc w:val="center"/>
        <w:tblLook w:val="04A0" w:firstRow="1" w:lastRow="0" w:firstColumn="1" w:lastColumn="0" w:noHBand="0" w:noVBand="1"/>
      </w:tblPr>
      <w:tblGrid>
        <w:gridCol w:w="1984"/>
        <w:gridCol w:w="1814"/>
        <w:gridCol w:w="2438"/>
        <w:gridCol w:w="2268"/>
      </w:tblGrid>
      <w:tr w:rsidR="0056252B" w14:paraId="7E9130EF" w14:textId="77777777">
        <w:trPr>
          <w:jc w:val="center"/>
        </w:trPr>
        <w:tc>
          <w:tcPr>
            <w:tcW w:w="1984" w:type="dxa"/>
            <w:shd w:val="clear" w:color="auto" w:fill="D9D9D9"/>
          </w:tcPr>
          <w:p w14:paraId="1A3858A0" w14:textId="77777777" w:rsidR="0056252B" w:rsidRDefault="00000000">
            <w:pPr>
              <w:jc w:val="center"/>
            </w:pPr>
            <w:r>
              <w:rPr>
                <w:b/>
                <w:sz w:val="20"/>
              </w:rPr>
              <w:t>Estado</w:t>
            </w:r>
          </w:p>
        </w:tc>
        <w:tc>
          <w:tcPr>
            <w:tcW w:w="1814" w:type="dxa"/>
            <w:shd w:val="clear" w:color="auto" w:fill="D9D9D9"/>
          </w:tcPr>
          <w:p w14:paraId="7EACA90B" w14:textId="77777777" w:rsidR="0056252B" w:rsidRDefault="00000000">
            <w:pPr>
              <w:jc w:val="center"/>
            </w:pPr>
            <w:r>
              <w:rPr>
                <w:b/>
                <w:sz w:val="20"/>
              </w:rPr>
              <w:t>Condición</w:t>
            </w:r>
          </w:p>
        </w:tc>
        <w:tc>
          <w:tcPr>
            <w:tcW w:w="2438" w:type="dxa"/>
            <w:shd w:val="clear" w:color="auto" w:fill="D9D9D9"/>
          </w:tcPr>
          <w:p w14:paraId="40DE10AB" w14:textId="77777777" w:rsidR="0056252B" w:rsidRDefault="00000000">
            <w:pPr>
              <w:jc w:val="center"/>
            </w:pPr>
            <w:r>
              <w:rPr>
                <w:b/>
                <w:sz w:val="20"/>
              </w:rPr>
              <w:t>Interpretación</w:t>
            </w:r>
          </w:p>
        </w:tc>
        <w:tc>
          <w:tcPr>
            <w:tcW w:w="2268" w:type="dxa"/>
            <w:shd w:val="clear" w:color="auto" w:fill="D9D9D9"/>
          </w:tcPr>
          <w:p w14:paraId="22324BC3" w14:textId="77777777" w:rsidR="0056252B" w:rsidRDefault="00000000">
            <w:pPr>
              <w:jc w:val="center"/>
            </w:pPr>
            <w:r>
              <w:rPr>
                <w:b/>
                <w:sz w:val="20"/>
              </w:rPr>
              <w:t>Acción estratégica</w:t>
            </w:r>
          </w:p>
        </w:tc>
      </w:tr>
      <w:tr w:rsidR="0056252B" w14:paraId="60E0752D" w14:textId="77777777">
        <w:trPr>
          <w:jc w:val="center"/>
        </w:trPr>
        <w:tc>
          <w:tcPr>
            <w:tcW w:w="1984" w:type="dxa"/>
          </w:tcPr>
          <w:p w14:paraId="230F2A66" w14:textId="77777777" w:rsidR="0056252B" w:rsidRDefault="00000000">
            <w:r>
              <w:rPr>
                <w:sz w:val="20"/>
              </w:rPr>
              <w:t>Era de Construcción</w:t>
            </w:r>
          </w:p>
        </w:tc>
        <w:tc>
          <w:tcPr>
            <w:tcW w:w="1814" w:type="dxa"/>
          </w:tcPr>
          <w:p w14:paraId="17DA6259" w14:textId="77777777" w:rsidR="0056252B" w:rsidRDefault="00000000">
            <w:pPr>
              <w:jc w:val="center"/>
            </w:pPr>
            <w:r>
              <w:rPr>
                <w:sz w:val="20"/>
              </w:rPr>
              <w:t>SOX ↑  y  Cobre ↑</w:t>
            </w:r>
          </w:p>
        </w:tc>
        <w:tc>
          <w:tcPr>
            <w:tcW w:w="2438" w:type="dxa"/>
          </w:tcPr>
          <w:p w14:paraId="2FFBBB43" w14:textId="77777777" w:rsidR="0056252B" w:rsidRDefault="00000000">
            <w:pPr>
              <w:jc w:val="center"/>
            </w:pPr>
            <w:r>
              <w:rPr>
                <w:sz w:val="20"/>
              </w:rPr>
              <w:t>IA requiere materia física</w:t>
            </w:r>
          </w:p>
        </w:tc>
        <w:tc>
          <w:tcPr>
            <w:tcW w:w="2268" w:type="dxa"/>
          </w:tcPr>
          <w:p w14:paraId="674BC564" w14:textId="77777777" w:rsidR="0056252B" w:rsidRDefault="00000000">
            <w:pPr>
              <w:jc w:val="center"/>
            </w:pPr>
            <w:r>
              <w:rPr>
                <w:sz w:val="20"/>
              </w:rPr>
              <w:t>Mantener todos los pilares</w:t>
            </w:r>
          </w:p>
        </w:tc>
      </w:tr>
      <w:tr w:rsidR="0056252B" w14:paraId="45CECB31" w14:textId="77777777">
        <w:trPr>
          <w:jc w:val="center"/>
        </w:trPr>
        <w:tc>
          <w:tcPr>
            <w:tcW w:w="1984" w:type="dxa"/>
          </w:tcPr>
          <w:p w14:paraId="1DFC361D" w14:textId="77777777" w:rsidR="0056252B" w:rsidRDefault="00000000">
            <w:r>
              <w:rPr>
                <w:sz w:val="20"/>
              </w:rPr>
              <w:t>Divergencia · Alerta</w:t>
            </w:r>
          </w:p>
        </w:tc>
        <w:tc>
          <w:tcPr>
            <w:tcW w:w="1814" w:type="dxa"/>
          </w:tcPr>
          <w:p w14:paraId="6FB4A630" w14:textId="77777777" w:rsidR="0056252B" w:rsidRDefault="00000000">
            <w:pPr>
              <w:jc w:val="center"/>
            </w:pPr>
            <w:r>
              <w:rPr>
                <w:sz w:val="20"/>
              </w:rPr>
              <w:t>SOX ↑  /  Cobre ↓</w:t>
            </w:r>
          </w:p>
        </w:tc>
        <w:tc>
          <w:tcPr>
            <w:tcW w:w="2438" w:type="dxa"/>
          </w:tcPr>
          <w:p w14:paraId="00586D5D" w14:textId="77777777" w:rsidR="0056252B" w:rsidRDefault="00000000">
            <w:pPr>
              <w:jc w:val="center"/>
            </w:pPr>
            <w:r>
              <w:rPr>
                <w:sz w:val="20"/>
              </w:rPr>
              <w:t>IA miniaturiza o sustituye</w:t>
            </w:r>
          </w:p>
        </w:tc>
        <w:tc>
          <w:tcPr>
            <w:tcW w:w="2268" w:type="dxa"/>
          </w:tcPr>
          <w:p w14:paraId="5B6827E1" w14:textId="77777777" w:rsidR="0056252B" w:rsidRDefault="00000000">
            <w:pPr>
              <w:jc w:val="center"/>
            </w:pPr>
            <w:r>
              <w:rPr>
                <w:sz w:val="20"/>
              </w:rPr>
              <w:t>Rotar metales → IA pura</w:t>
            </w:r>
          </w:p>
        </w:tc>
      </w:tr>
      <w:tr w:rsidR="0056252B" w14:paraId="2F5BB7A0" w14:textId="77777777">
        <w:trPr>
          <w:jc w:val="center"/>
        </w:trPr>
        <w:tc>
          <w:tcPr>
            <w:tcW w:w="1984" w:type="dxa"/>
          </w:tcPr>
          <w:p w14:paraId="2955E09B" w14:textId="77777777" w:rsidR="0056252B" w:rsidRDefault="00000000">
            <w:r>
              <w:rPr>
                <w:sz w:val="20"/>
              </w:rPr>
              <w:t>Escasez Física</w:t>
            </w:r>
          </w:p>
        </w:tc>
        <w:tc>
          <w:tcPr>
            <w:tcW w:w="1814" w:type="dxa"/>
          </w:tcPr>
          <w:p w14:paraId="5E9670ED" w14:textId="77777777" w:rsidR="0056252B" w:rsidRDefault="00000000">
            <w:pPr>
              <w:jc w:val="center"/>
            </w:pPr>
            <w:r>
              <w:rPr>
                <w:sz w:val="20"/>
              </w:rPr>
              <w:t>SOX ↓  /  Cobre ↑</w:t>
            </w:r>
          </w:p>
        </w:tc>
        <w:tc>
          <w:tcPr>
            <w:tcW w:w="2438" w:type="dxa"/>
          </w:tcPr>
          <w:p w14:paraId="4C770D09" w14:textId="77777777" w:rsidR="0056252B" w:rsidRDefault="00000000">
            <w:pPr>
              <w:jc w:val="center"/>
            </w:pPr>
            <w:r>
              <w:rPr>
                <w:sz w:val="20"/>
              </w:rPr>
              <w:t>Demanda física sin capex IA</w:t>
            </w:r>
          </w:p>
        </w:tc>
        <w:tc>
          <w:tcPr>
            <w:tcW w:w="2268" w:type="dxa"/>
          </w:tcPr>
          <w:p w14:paraId="0E3C036A" w14:textId="77777777" w:rsidR="0056252B" w:rsidRDefault="00000000">
            <w:pPr>
              <w:jc w:val="center"/>
            </w:pPr>
            <w:r>
              <w:rPr>
                <w:sz w:val="20"/>
              </w:rPr>
              <w:t>Mantener metales, esperar SOX</w:t>
            </w:r>
          </w:p>
        </w:tc>
      </w:tr>
      <w:tr w:rsidR="0056252B" w14:paraId="2E8BB0E8" w14:textId="77777777">
        <w:trPr>
          <w:jc w:val="center"/>
        </w:trPr>
        <w:tc>
          <w:tcPr>
            <w:tcW w:w="1984" w:type="dxa"/>
          </w:tcPr>
          <w:p w14:paraId="6CA03EDA" w14:textId="77777777" w:rsidR="0056252B" w:rsidRDefault="00000000">
            <w:r>
              <w:rPr>
                <w:sz w:val="20"/>
              </w:rPr>
              <w:t>Contracción</w:t>
            </w:r>
          </w:p>
        </w:tc>
        <w:tc>
          <w:tcPr>
            <w:tcW w:w="1814" w:type="dxa"/>
          </w:tcPr>
          <w:p w14:paraId="5A982735" w14:textId="77777777" w:rsidR="0056252B" w:rsidRDefault="00000000">
            <w:pPr>
              <w:jc w:val="center"/>
            </w:pPr>
            <w:r>
              <w:rPr>
                <w:sz w:val="20"/>
              </w:rPr>
              <w:t>SOX ↓  y  Cobre ↓</w:t>
            </w:r>
          </w:p>
        </w:tc>
        <w:tc>
          <w:tcPr>
            <w:tcW w:w="2438" w:type="dxa"/>
          </w:tcPr>
          <w:p w14:paraId="1A24F964" w14:textId="77777777" w:rsidR="0056252B" w:rsidRDefault="00000000">
            <w:pPr>
              <w:jc w:val="center"/>
            </w:pPr>
            <w:r>
              <w:rPr>
                <w:sz w:val="20"/>
              </w:rPr>
              <w:t>Entorno adverso generalizado</w:t>
            </w:r>
          </w:p>
        </w:tc>
        <w:tc>
          <w:tcPr>
            <w:tcW w:w="2268" w:type="dxa"/>
          </w:tcPr>
          <w:p w14:paraId="178042B4" w14:textId="77777777" w:rsidR="0056252B" w:rsidRDefault="00000000">
            <w:pPr>
              <w:jc w:val="center"/>
            </w:pPr>
            <w:r>
              <w:rPr>
                <w:sz w:val="20"/>
              </w:rPr>
              <w:t>Modo defensivo — reducir riesgo</w:t>
            </w:r>
          </w:p>
        </w:tc>
      </w:tr>
    </w:tbl>
    <w:p w14:paraId="400E92FE" w14:textId="77777777" w:rsidR="0056252B" w:rsidRDefault="0056252B"/>
    <w:p w14:paraId="0A29E488" w14:textId="77777777" w:rsidR="0056252B" w:rsidRDefault="00000000">
      <w:pPr>
        <w:spacing w:after="120"/>
        <w:jc w:val="center"/>
      </w:pPr>
      <w:r>
        <w:rPr>
          <w:i/>
          <w:sz w:val="18"/>
        </w:rPr>
        <w:t>Tabla 2. Estados de la Correlación SOX/Cobre y acciones estratégicas.</w:t>
      </w:r>
    </w:p>
    <w:p w14:paraId="0430E91C" w14:textId="77777777" w:rsidR="0056252B" w:rsidRDefault="00000000">
      <w:pPr>
        <w:spacing w:after="120"/>
        <w:jc w:val="both"/>
      </w:pPr>
      <w:r>
        <w:t>La Divergencia (SOX sube, Cobre baja) es la señal más importante: es el primer indicador observable de que el paradigma está cambiando y de que el valor se está transfiriendo desde los activos físicos hacia los activos de información. Históricamente, estos cambios de paradigma se producen de forma gradual pero acelerada una vez que se confirman durante dos o tres meses consecutivos.</w:t>
      </w:r>
    </w:p>
    <w:p w14:paraId="636B9762" w14:textId="77777777" w:rsidR="0056252B" w:rsidRDefault="00000000">
      <w:pPr>
        <w:pStyle w:val="Ttulo1"/>
      </w:pPr>
      <w:r>
        <w:t>5. Calibración de los Parámetros r_IA, K, γ y t₀</w:t>
      </w:r>
    </w:p>
    <w:p w14:paraId="319B7DFE" w14:textId="77777777" w:rsidR="0056252B" w:rsidRDefault="00000000">
      <w:pPr>
        <w:spacing w:after="120"/>
        <w:jc w:val="both"/>
      </w:pPr>
      <w:r>
        <w:t>Una propiedad central del modelo es que sus cuatro parámetros son calibrables de forma independiente, cada uno a partir de una fuente de datos distinta y objetiva.</w:t>
      </w:r>
    </w:p>
    <w:p w14:paraId="353D48A0" w14:textId="77777777" w:rsidR="0056252B" w:rsidRDefault="00000000">
      <w:pPr>
        <w:pStyle w:val="Ttulo2"/>
      </w:pPr>
      <w:r>
        <w:t>5.1 Calibración de r_IA</w:t>
      </w:r>
    </w:p>
    <w:p w14:paraId="0B17E351" w14:textId="77777777" w:rsidR="0056252B" w:rsidRDefault="00000000">
      <w:pPr>
        <w:spacing w:after="120"/>
        <w:jc w:val="both"/>
      </w:pPr>
      <w:r>
        <w:t>El parámetro r_IA es el más directamente calibrable a partir de datos de mercado. El rendimiento anualizado del índice SOX proporciona una estimación de mercado del ritmo al que los inversores están descontando el crecimiento del ecosistema de IA. La regla de calibración propuesta es:</w:t>
      </w:r>
    </w:p>
    <w:p w14:paraId="2E784EF4" w14:textId="77777777" w:rsidR="0056252B" w:rsidRDefault="00000000">
      <w:pPr>
        <w:spacing w:before="120" w:after="120"/>
        <w:jc w:val="center"/>
      </w:pPr>
      <w:r>
        <w:rPr>
          <w:rFonts w:ascii="Courier New" w:hAnsi="Courier New"/>
          <w:b/>
          <w:sz w:val="24"/>
        </w:rPr>
        <w:t>r_IA  =  Rendimiento_SOX_12M  /  100</w:t>
      </w:r>
    </w:p>
    <w:p w14:paraId="5879A6C7" w14:textId="77777777" w:rsidR="0056252B" w:rsidRDefault="00000000">
      <w:pPr>
        <w:spacing w:after="120"/>
        <w:jc w:val="both"/>
      </w:pPr>
      <w:r>
        <w:t>Por ejemplo, si el SOX ha subido un 22% en los últimos 12 meses, r_IA = 0.22. Esta calibración se revisa trimestralmente. Como sanidad check, puede utilizarse también el rendimiento del NASDAQ Composite, que tiende a ser más estable que el SOX.</w:t>
      </w:r>
    </w:p>
    <w:p w14:paraId="4E000CB7" w14:textId="77777777" w:rsidR="0056252B" w:rsidRDefault="00000000">
      <w:pPr>
        <w:pStyle w:val="Ttulo2"/>
      </w:pPr>
      <w:r>
        <w:t>5.2 Calibración de γ — velocidad de adopción</w:t>
      </w:r>
    </w:p>
    <w:p w14:paraId="72F49BF3" w14:textId="77777777" w:rsidR="0056252B" w:rsidRDefault="00000000">
      <w:pPr>
        <w:spacing w:after="120"/>
        <w:jc w:val="both"/>
      </w:pPr>
      <w:r>
        <w:t>El parámetro γ es uno de los elementos más sólidos del modelo: la velocidad de autorreplicación puede calibrarse de forma completamente cuantitativa y objetiva, sin juicios cualitativos. La fuente de calibración es la cadencia de releases de Grandes Modelos de Lenguaje (LLMs) de capacidad fundacional superior.</w:t>
      </w:r>
    </w:p>
    <w:p w14:paraId="2D0FA075" w14:textId="77777777" w:rsidR="0056252B" w:rsidRDefault="00000000">
      <w:pPr>
        <w:spacing w:after="120"/>
        <w:jc w:val="both"/>
      </w:pPr>
      <w:r>
        <w:t>La lógica es la siguiente: γ mide cuánto tarda el ecosistema de IA en completar un ciclo de automejoría. Cada release LLM mayor representa un ciclo completo (entrenamiento → evaluación → mejora de arquitectura). La regla de calibración es:</w:t>
      </w:r>
    </w:p>
    <w:p w14:paraId="4B8B60A0" w14:textId="77777777" w:rsidR="0056252B" w:rsidRDefault="00000000">
      <w:pPr>
        <w:spacing w:before="120" w:after="120"/>
        <w:jc w:val="center"/>
      </w:pPr>
      <w:r>
        <w:rPr>
          <w:rFonts w:ascii="Courier New" w:hAnsi="Courier New"/>
          <w:b/>
          <w:sz w:val="24"/>
        </w:rPr>
        <w:t>γ  =  12  /  intervalo_mediano_entre_releases_LLM  (meses)</w:t>
      </w:r>
    </w:p>
    <w:p w14:paraId="3D06B5D6" w14:textId="77777777" w:rsidR="0056252B" w:rsidRDefault="00000000">
      <w:pPr>
        <w:spacing w:after="120"/>
        <w:jc w:val="both"/>
      </w:pPr>
      <w:r>
        <w:t>Con datos hasta marzo de 2026: el intervalo mediano entre releases mayores es aproximadamente 4-5 meses, lo que produce γ ∈ [2.4, 3.0] en el escenario acelerado y γ ≈ 0.7-</w:t>
      </w:r>
      <w:r>
        <w:lastRenderedPageBreak/>
        <w:t>1.0 en el escenario base (considerando solo los releases tier-1 de cada lab). La Tabla 3 resume la escala de calibración de γ junto con los proxies de mercado correspondientes.</w:t>
      </w:r>
    </w:p>
    <w:p w14:paraId="457AB92B" w14:textId="77777777" w:rsidR="0056252B" w:rsidRDefault="0056252B"/>
    <w:tbl>
      <w:tblPr>
        <w:tblStyle w:val="Tablaconcuadrcula"/>
        <w:tblW w:w="0" w:type="auto"/>
        <w:jc w:val="center"/>
        <w:tblLook w:val="04A0" w:firstRow="1" w:lastRow="0" w:firstColumn="1" w:lastColumn="0" w:noHBand="0" w:noVBand="1"/>
      </w:tblPr>
      <w:tblGrid>
        <w:gridCol w:w="680"/>
        <w:gridCol w:w="1417"/>
        <w:gridCol w:w="3118"/>
        <w:gridCol w:w="2721"/>
      </w:tblGrid>
      <w:tr w:rsidR="0056252B" w14:paraId="6C0D0F4D" w14:textId="77777777">
        <w:trPr>
          <w:jc w:val="center"/>
        </w:trPr>
        <w:tc>
          <w:tcPr>
            <w:tcW w:w="680" w:type="dxa"/>
            <w:shd w:val="clear" w:color="auto" w:fill="D9D9D9"/>
          </w:tcPr>
          <w:p w14:paraId="101E8C14" w14:textId="77777777" w:rsidR="0056252B" w:rsidRDefault="00000000">
            <w:pPr>
              <w:jc w:val="center"/>
            </w:pPr>
            <w:r>
              <w:rPr>
                <w:b/>
                <w:sz w:val="20"/>
              </w:rPr>
              <w:t>γ</w:t>
            </w:r>
          </w:p>
        </w:tc>
        <w:tc>
          <w:tcPr>
            <w:tcW w:w="1417" w:type="dxa"/>
            <w:shd w:val="clear" w:color="auto" w:fill="D9D9D9"/>
          </w:tcPr>
          <w:p w14:paraId="7EF08C7D" w14:textId="77777777" w:rsidR="0056252B" w:rsidRDefault="00000000">
            <w:pPr>
              <w:jc w:val="center"/>
            </w:pPr>
            <w:r>
              <w:rPr>
                <w:b/>
                <w:sz w:val="20"/>
              </w:rPr>
              <w:t>Intervalo LLM</w:t>
            </w:r>
          </w:p>
        </w:tc>
        <w:tc>
          <w:tcPr>
            <w:tcW w:w="3118" w:type="dxa"/>
            <w:shd w:val="clear" w:color="auto" w:fill="D9D9D9"/>
          </w:tcPr>
          <w:p w14:paraId="6D4AA493" w14:textId="77777777" w:rsidR="0056252B" w:rsidRDefault="00000000">
            <w:pPr>
              <w:jc w:val="center"/>
            </w:pPr>
            <w:r>
              <w:rPr>
                <w:b/>
                <w:sz w:val="20"/>
              </w:rPr>
              <w:t>Condición observable</w:t>
            </w:r>
          </w:p>
        </w:tc>
        <w:tc>
          <w:tcPr>
            <w:tcW w:w="2721" w:type="dxa"/>
            <w:shd w:val="clear" w:color="auto" w:fill="D9D9D9"/>
          </w:tcPr>
          <w:p w14:paraId="63987D55" w14:textId="77777777" w:rsidR="0056252B" w:rsidRDefault="00000000">
            <w:pPr>
              <w:jc w:val="center"/>
            </w:pPr>
            <w:r>
              <w:rPr>
                <w:b/>
                <w:sz w:val="20"/>
              </w:rPr>
              <w:t>Proxy de mercado</w:t>
            </w:r>
          </w:p>
        </w:tc>
      </w:tr>
      <w:tr w:rsidR="0056252B" w14:paraId="4B562EE3" w14:textId="77777777">
        <w:trPr>
          <w:jc w:val="center"/>
        </w:trPr>
        <w:tc>
          <w:tcPr>
            <w:tcW w:w="680" w:type="dxa"/>
          </w:tcPr>
          <w:p w14:paraId="4C10EC9E" w14:textId="77777777" w:rsidR="0056252B" w:rsidRDefault="00000000">
            <w:r>
              <w:rPr>
                <w:sz w:val="20"/>
              </w:rPr>
              <w:t>0.5</w:t>
            </w:r>
          </w:p>
        </w:tc>
        <w:tc>
          <w:tcPr>
            <w:tcW w:w="1417" w:type="dxa"/>
          </w:tcPr>
          <w:p w14:paraId="4052359A" w14:textId="77777777" w:rsidR="0056252B" w:rsidRDefault="00000000">
            <w:pPr>
              <w:jc w:val="center"/>
            </w:pPr>
            <w:r>
              <w:rPr>
                <w:sz w:val="20"/>
              </w:rPr>
              <w:t>~24 meses</w:t>
            </w:r>
          </w:p>
        </w:tc>
        <w:tc>
          <w:tcPr>
            <w:tcW w:w="3118" w:type="dxa"/>
          </w:tcPr>
          <w:p w14:paraId="2CDF245F" w14:textId="77777777" w:rsidR="0056252B" w:rsidRDefault="00000000">
            <w:pPr>
              <w:jc w:val="center"/>
            </w:pPr>
            <w:r>
              <w:rPr>
                <w:sz w:val="20"/>
              </w:rPr>
              <w:t>Adopción lenta · releases espaciados</w:t>
            </w:r>
          </w:p>
        </w:tc>
        <w:tc>
          <w:tcPr>
            <w:tcW w:w="2721" w:type="dxa"/>
          </w:tcPr>
          <w:p w14:paraId="078318AC" w14:textId="77777777" w:rsidR="0056252B" w:rsidRDefault="00000000">
            <w:pPr>
              <w:jc w:val="center"/>
            </w:pPr>
            <w:r>
              <w:rPr>
                <w:sz w:val="20"/>
              </w:rPr>
              <w:t>SOX ≈ NASDAQ</w:t>
            </w:r>
          </w:p>
        </w:tc>
      </w:tr>
      <w:tr w:rsidR="0056252B" w14:paraId="3BAC2695" w14:textId="77777777">
        <w:trPr>
          <w:jc w:val="center"/>
        </w:trPr>
        <w:tc>
          <w:tcPr>
            <w:tcW w:w="680" w:type="dxa"/>
          </w:tcPr>
          <w:p w14:paraId="4451A157" w14:textId="77777777" w:rsidR="0056252B" w:rsidRDefault="00000000">
            <w:r>
              <w:rPr>
                <w:sz w:val="20"/>
              </w:rPr>
              <w:t>0.9</w:t>
            </w:r>
          </w:p>
        </w:tc>
        <w:tc>
          <w:tcPr>
            <w:tcW w:w="1417" w:type="dxa"/>
          </w:tcPr>
          <w:p w14:paraId="0AA76F82" w14:textId="77777777" w:rsidR="0056252B" w:rsidRDefault="00000000">
            <w:pPr>
              <w:jc w:val="center"/>
            </w:pPr>
            <w:r>
              <w:rPr>
                <w:sz w:val="20"/>
              </w:rPr>
              <w:t>~13 meses</w:t>
            </w:r>
          </w:p>
        </w:tc>
        <w:tc>
          <w:tcPr>
            <w:tcW w:w="3118" w:type="dxa"/>
          </w:tcPr>
          <w:p w14:paraId="546D8D17" w14:textId="77777777" w:rsidR="0056252B" w:rsidRDefault="00000000">
            <w:pPr>
              <w:jc w:val="center"/>
            </w:pPr>
            <w:r>
              <w:rPr>
                <w:sz w:val="20"/>
              </w:rPr>
              <w:t>Cadencia histórica media (2020-2024)</w:t>
            </w:r>
          </w:p>
        </w:tc>
        <w:tc>
          <w:tcPr>
            <w:tcW w:w="2721" w:type="dxa"/>
          </w:tcPr>
          <w:p w14:paraId="09CA9469" w14:textId="77777777" w:rsidR="0056252B" w:rsidRDefault="00000000">
            <w:pPr>
              <w:jc w:val="center"/>
            </w:pPr>
            <w:r>
              <w:rPr>
                <w:sz w:val="20"/>
              </w:rPr>
              <w:t>SOX ligeramente &gt; NASDAQ</w:t>
            </w:r>
          </w:p>
        </w:tc>
      </w:tr>
      <w:tr w:rsidR="0056252B" w14:paraId="5141097C" w14:textId="77777777">
        <w:trPr>
          <w:jc w:val="center"/>
        </w:trPr>
        <w:tc>
          <w:tcPr>
            <w:tcW w:w="680" w:type="dxa"/>
          </w:tcPr>
          <w:p w14:paraId="565102EF" w14:textId="77777777" w:rsidR="0056252B" w:rsidRDefault="00000000">
            <w:r>
              <w:rPr>
                <w:sz w:val="20"/>
              </w:rPr>
              <w:t>1.5</w:t>
            </w:r>
          </w:p>
        </w:tc>
        <w:tc>
          <w:tcPr>
            <w:tcW w:w="1417" w:type="dxa"/>
          </w:tcPr>
          <w:p w14:paraId="7CEA7EBC" w14:textId="77777777" w:rsidR="0056252B" w:rsidRDefault="00000000">
            <w:pPr>
              <w:jc w:val="center"/>
            </w:pPr>
            <w:r>
              <w:rPr>
                <w:sz w:val="20"/>
              </w:rPr>
              <w:t>~8 meses</w:t>
            </w:r>
          </w:p>
        </w:tc>
        <w:tc>
          <w:tcPr>
            <w:tcW w:w="3118" w:type="dxa"/>
          </w:tcPr>
          <w:p w14:paraId="4B0CF26D" w14:textId="77777777" w:rsidR="0056252B" w:rsidRDefault="00000000">
            <w:pPr>
              <w:jc w:val="center"/>
            </w:pPr>
            <w:r>
              <w:rPr>
                <w:sz w:val="20"/>
              </w:rPr>
              <w:t>Aceleración · múltiples labs compitiendo</w:t>
            </w:r>
          </w:p>
        </w:tc>
        <w:tc>
          <w:tcPr>
            <w:tcW w:w="2721" w:type="dxa"/>
          </w:tcPr>
          <w:p w14:paraId="4ABD0A4D" w14:textId="77777777" w:rsidR="0056252B" w:rsidRDefault="00000000">
            <w:pPr>
              <w:jc w:val="center"/>
            </w:pPr>
            <w:r>
              <w:rPr>
                <w:sz w:val="20"/>
              </w:rPr>
              <w:t>SOX &gt; NASDAQ trailing 3M</w:t>
            </w:r>
          </w:p>
        </w:tc>
      </w:tr>
      <w:tr w:rsidR="0056252B" w14:paraId="75C5E4FB" w14:textId="77777777">
        <w:trPr>
          <w:jc w:val="center"/>
        </w:trPr>
        <w:tc>
          <w:tcPr>
            <w:tcW w:w="680" w:type="dxa"/>
          </w:tcPr>
          <w:p w14:paraId="4715A7E6" w14:textId="77777777" w:rsidR="0056252B" w:rsidRDefault="00000000">
            <w:r>
              <w:rPr>
                <w:sz w:val="20"/>
              </w:rPr>
              <w:t>2.5+</w:t>
            </w:r>
          </w:p>
        </w:tc>
        <w:tc>
          <w:tcPr>
            <w:tcW w:w="1417" w:type="dxa"/>
          </w:tcPr>
          <w:p w14:paraId="24D6F1D5" w14:textId="77777777" w:rsidR="0056252B" w:rsidRDefault="00000000">
            <w:pPr>
              <w:jc w:val="center"/>
            </w:pPr>
            <w:r>
              <w:rPr>
                <w:sz w:val="20"/>
              </w:rPr>
              <w:t>&lt; 5 meses</w:t>
            </w:r>
          </w:p>
        </w:tc>
        <w:tc>
          <w:tcPr>
            <w:tcW w:w="3118" w:type="dxa"/>
          </w:tcPr>
          <w:p w14:paraId="65083299" w14:textId="77777777" w:rsidR="0056252B" w:rsidRDefault="00000000">
            <w:pPr>
              <w:jc w:val="center"/>
            </w:pPr>
            <w:r>
              <w:rPr>
                <w:sz w:val="20"/>
              </w:rPr>
              <w:t>Autorreplicación activa · releases trimestrales</w:t>
            </w:r>
          </w:p>
        </w:tc>
        <w:tc>
          <w:tcPr>
            <w:tcW w:w="2721" w:type="dxa"/>
          </w:tcPr>
          <w:p w14:paraId="0689F698" w14:textId="77777777" w:rsidR="0056252B" w:rsidRDefault="00000000">
            <w:pPr>
              <w:jc w:val="center"/>
            </w:pPr>
            <w:r>
              <w:rPr>
                <w:sz w:val="20"/>
              </w:rPr>
              <w:t>SOX &gt; NASDAQ + divergencia NVDA</w:t>
            </w:r>
          </w:p>
        </w:tc>
      </w:tr>
    </w:tbl>
    <w:p w14:paraId="43EE6120" w14:textId="77777777" w:rsidR="0056252B" w:rsidRDefault="0056252B"/>
    <w:p w14:paraId="2B10F0B4" w14:textId="77777777" w:rsidR="0056252B" w:rsidRDefault="00000000">
      <w:pPr>
        <w:spacing w:after="120"/>
        <w:jc w:val="center"/>
      </w:pPr>
      <w:r>
        <w:rPr>
          <w:i/>
          <w:sz w:val="18"/>
        </w:rPr>
        <w:t>Tabla 3. Escala de calibración del parámetro γ a partir de la cadencia de releases LLM.</w:t>
      </w:r>
    </w:p>
    <w:p w14:paraId="43EEE855" w14:textId="77777777" w:rsidR="0056252B" w:rsidRDefault="00000000">
      <w:pPr>
        <w:pStyle w:val="Ttulo2"/>
      </w:pPr>
      <w:r>
        <w:t>5.3 Calibración de K — multiplicador máximo</w:t>
      </w:r>
    </w:p>
    <w:p w14:paraId="3F53CE89" w14:textId="77777777" w:rsidR="0056252B" w:rsidRDefault="00000000">
      <w:pPr>
        <w:spacing w:after="120"/>
        <w:jc w:val="both"/>
      </w:pPr>
      <w:r>
        <w:t>El parámetro K es el único que no puede calibrarse de forma puramente cuantitativa: representa el multiplicador máximo que la autorreplicación de IA puede aportar al crecimiento base una vez que el paradigma está maduro. K es, en esencia, una hipótesis sobre el estado final del ecosistema. La calibración propuesta relaciona K con el potencial de expansión total del mercado de IA respecto al mercado actual:</w:t>
      </w:r>
    </w:p>
    <w:p w14:paraId="0D272674" w14:textId="77777777" w:rsidR="0056252B" w:rsidRDefault="00000000">
      <w:pPr>
        <w:spacing w:before="120" w:after="120"/>
        <w:jc w:val="center"/>
      </w:pPr>
      <w:r>
        <w:rPr>
          <w:rFonts w:ascii="Courier New" w:hAnsi="Courier New"/>
          <w:b/>
          <w:sz w:val="24"/>
        </w:rPr>
        <w:t>K  ≈  (TAM_IA_maduro  /  TAM_IA_actual)  −  1</w:t>
      </w:r>
    </w:p>
    <w:p w14:paraId="31FAEAF6" w14:textId="77777777" w:rsidR="0056252B" w:rsidRDefault="00000000">
      <w:pPr>
        <w:spacing w:after="120"/>
        <w:jc w:val="both"/>
      </w:pPr>
      <w:r>
        <w:t>Con estimaciones de mercado actuales (TAM IA ~$200B en 2025, proyecciones $15-20T en escenario de madurez), K ∈ [3, 9] dependiendo del escenario. K tiene una interpretación económica directa (ratio de expansión de mercado) que lo hace falsificable: si el TAM de IA no crece conforme a las proyecciones, K debe reducirse en la siguiente revisión.</w:t>
      </w:r>
    </w:p>
    <w:p w14:paraId="0214A967" w14:textId="77777777" w:rsidR="0056252B" w:rsidRDefault="00000000">
      <w:pPr>
        <w:pStyle w:val="Ttulo2"/>
      </w:pPr>
      <w:r>
        <w:t>5.4 Calibración de t₀ — año de inflexión</w:t>
      </w:r>
    </w:p>
    <w:p w14:paraId="6DB37336" w14:textId="77777777" w:rsidR="0056252B" w:rsidRDefault="00000000">
      <w:pPr>
        <w:spacing w:after="120"/>
        <w:jc w:val="both"/>
      </w:pPr>
      <w:r>
        <w:t>El parámetro t₀ es el más estratégicamente relevante: es el año en que el ecosistema alcanza su máxima tasa de aceleración y, por tanto, el momento en que la señal SOX/Cobre debería detectar la Divergencia. La calibración se realiza a partir de tres proxies convergentes:</w:t>
      </w:r>
    </w:p>
    <w:p w14:paraId="1857D190" w14:textId="77777777" w:rsidR="0056252B" w:rsidRDefault="00000000">
      <w:pPr>
        <w:pStyle w:val="Listaconvietas"/>
        <w:spacing w:after="60"/>
        <w:ind w:left="567"/>
        <w:jc w:val="both"/>
      </w:pPr>
      <w:r>
        <w:t>Proyecciones de AGI / automatización de conocimiento: la mayoría de los labs de IA proyectan capacidades de nivel experto en tareas cognitivas complejas para el período 2027-2030, lo que sugiere t₀ ∈ [3, 6] años desde 2026.</w:t>
      </w:r>
    </w:p>
    <w:p w14:paraId="7C0F3DC7" w14:textId="77777777" w:rsidR="0056252B" w:rsidRDefault="00000000">
      <w:pPr>
        <w:pStyle w:val="Listaconvietas"/>
        <w:spacing w:after="60"/>
        <w:ind w:left="567"/>
        <w:jc w:val="both"/>
      </w:pPr>
      <w:r>
        <w:t>Curvas de coste de inferencia: al ritmo actual de caída (10× cada 12 meses), el coste de inferencia alcanzará paridad con el trabajo humano en conocimiento aproximadamente en 2028-2029, otro proxy de t₀.</w:t>
      </w:r>
    </w:p>
    <w:p w14:paraId="6FC1EB88" w14:textId="77777777" w:rsidR="0056252B" w:rsidRDefault="00000000">
      <w:pPr>
        <w:pStyle w:val="Listaconvietas"/>
        <w:spacing w:after="60"/>
        <w:ind w:left="567"/>
        <w:jc w:val="both"/>
      </w:pPr>
      <w:r>
        <w:t>Señal de mercado SOX/Cobre: t₀ puede estimarse retrospectivamente como el año en que la Divergencia se mantiene durante más de 3 meses consecutivos, proporcionando una estimación ex-post que actualiza la calibración prospectiva.</w:t>
      </w:r>
    </w:p>
    <w:p w14:paraId="7D75C45A" w14:textId="77777777" w:rsidR="0056252B" w:rsidRDefault="00000000">
      <w:pPr>
        <w:pStyle w:val="Ttulo1"/>
      </w:pPr>
      <w:r>
        <w:t>6. Escenarios y Proyecciones</w:t>
      </w:r>
    </w:p>
    <w:p w14:paraId="29FAABF4" w14:textId="77777777" w:rsidR="0056252B" w:rsidRDefault="00000000">
      <w:pPr>
        <w:spacing w:after="120"/>
        <w:jc w:val="both"/>
      </w:pPr>
      <w:r>
        <w:t xml:space="preserve">A partir del modelo Escasez y Resiliencia y los parámetros de calibración descritos, se presentan tres escenarios de proyección para un horizonte de diez años. Los escenarios se </w:t>
      </w:r>
      <w:r>
        <w:lastRenderedPageBreak/>
        <w:t>diferencian en los valores de r, K, γ y t₀ asignados, reflejando distintas hipótesis sobre la velocidad de adopción (γ) y el multiplicador máximo de autorreplicación (K) del ecosistema de IA. El año de inflexión t₀ = 5 (2031) es común a todos los escenarios, consistente con las proyecciones de capacidades de nivel experto descritas en §5.4.</w:t>
      </w:r>
    </w:p>
    <w:tbl>
      <w:tblPr>
        <w:tblStyle w:val="Tablaconcuadrcula"/>
        <w:tblW w:w="0" w:type="auto"/>
        <w:jc w:val="center"/>
        <w:tblLook w:val="04A0" w:firstRow="1" w:lastRow="0" w:firstColumn="1" w:lastColumn="0" w:noHBand="0" w:noVBand="1"/>
      </w:tblPr>
      <w:tblGrid>
        <w:gridCol w:w="1361"/>
        <w:gridCol w:w="680"/>
        <w:gridCol w:w="624"/>
        <w:gridCol w:w="680"/>
        <w:gridCol w:w="1020"/>
        <w:gridCol w:w="1020"/>
        <w:gridCol w:w="1191"/>
      </w:tblGrid>
      <w:tr w:rsidR="0056252B" w14:paraId="3DA95AB5" w14:textId="77777777">
        <w:trPr>
          <w:jc w:val="center"/>
        </w:trPr>
        <w:tc>
          <w:tcPr>
            <w:tcW w:w="1361" w:type="dxa"/>
            <w:shd w:val="clear" w:color="auto" w:fill="D9D9D9"/>
          </w:tcPr>
          <w:p w14:paraId="10A381D7" w14:textId="77777777" w:rsidR="0056252B" w:rsidRDefault="00000000">
            <w:pPr>
              <w:jc w:val="center"/>
            </w:pPr>
            <w:r>
              <w:rPr>
                <w:b/>
                <w:sz w:val="20"/>
              </w:rPr>
              <w:t>Escenario</w:t>
            </w:r>
          </w:p>
        </w:tc>
        <w:tc>
          <w:tcPr>
            <w:tcW w:w="680" w:type="dxa"/>
            <w:shd w:val="clear" w:color="auto" w:fill="D9D9D9"/>
          </w:tcPr>
          <w:p w14:paraId="6BB8D28B" w14:textId="77777777" w:rsidR="0056252B" w:rsidRDefault="00000000">
            <w:pPr>
              <w:jc w:val="center"/>
            </w:pPr>
            <w:r>
              <w:rPr>
                <w:b/>
                <w:sz w:val="20"/>
              </w:rPr>
              <w:t>r_IA</w:t>
            </w:r>
          </w:p>
        </w:tc>
        <w:tc>
          <w:tcPr>
            <w:tcW w:w="624" w:type="dxa"/>
            <w:shd w:val="clear" w:color="auto" w:fill="D9D9D9"/>
          </w:tcPr>
          <w:p w14:paraId="2C721C9A" w14:textId="77777777" w:rsidR="0056252B" w:rsidRDefault="00000000">
            <w:pPr>
              <w:jc w:val="center"/>
            </w:pPr>
            <w:r>
              <w:rPr>
                <w:b/>
                <w:sz w:val="20"/>
              </w:rPr>
              <w:t>K</w:t>
            </w:r>
          </w:p>
        </w:tc>
        <w:tc>
          <w:tcPr>
            <w:tcW w:w="680" w:type="dxa"/>
            <w:shd w:val="clear" w:color="auto" w:fill="D9D9D9"/>
          </w:tcPr>
          <w:p w14:paraId="30C00E66" w14:textId="77777777" w:rsidR="0056252B" w:rsidRDefault="00000000">
            <w:pPr>
              <w:jc w:val="center"/>
            </w:pPr>
            <w:r>
              <w:rPr>
                <w:b/>
                <w:sz w:val="20"/>
              </w:rPr>
              <w:t>γ</w:t>
            </w:r>
          </w:p>
        </w:tc>
        <w:tc>
          <w:tcPr>
            <w:tcW w:w="1020" w:type="dxa"/>
            <w:shd w:val="clear" w:color="auto" w:fill="D9D9D9"/>
          </w:tcPr>
          <w:p w14:paraId="52F51959" w14:textId="77777777" w:rsidR="0056252B" w:rsidRDefault="00000000">
            <w:pPr>
              <w:jc w:val="center"/>
            </w:pPr>
            <w:r>
              <w:rPr>
                <w:b/>
                <w:sz w:val="20"/>
              </w:rPr>
              <w:t>Factor ×2a</w:t>
            </w:r>
          </w:p>
        </w:tc>
        <w:tc>
          <w:tcPr>
            <w:tcW w:w="1020" w:type="dxa"/>
            <w:shd w:val="clear" w:color="auto" w:fill="D9D9D9"/>
          </w:tcPr>
          <w:p w14:paraId="1FDA5150" w14:textId="77777777" w:rsidR="0056252B" w:rsidRDefault="00000000">
            <w:pPr>
              <w:jc w:val="center"/>
            </w:pPr>
            <w:r>
              <w:rPr>
                <w:b/>
                <w:sz w:val="20"/>
              </w:rPr>
              <w:t>Factor ×4a</w:t>
            </w:r>
          </w:p>
        </w:tc>
        <w:tc>
          <w:tcPr>
            <w:tcW w:w="1191" w:type="dxa"/>
            <w:shd w:val="clear" w:color="auto" w:fill="D9D9D9"/>
          </w:tcPr>
          <w:p w14:paraId="156E25B5" w14:textId="77777777" w:rsidR="0056252B" w:rsidRDefault="00000000">
            <w:pPr>
              <w:jc w:val="center"/>
            </w:pPr>
            <w:r>
              <w:rPr>
                <w:b/>
                <w:sz w:val="20"/>
              </w:rPr>
              <w:t>Factor ×10a</w:t>
            </w:r>
          </w:p>
        </w:tc>
      </w:tr>
      <w:tr w:rsidR="0056252B" w14:paraId="2F26C050" w14:textId="77777777">
        <w:trPr>
          <w:jc w:val="center"/>
        </w:trPr>
        <w:tc>
          <w:tcPr>
            <w:tcW w:w="1361" w:type="dxa"/>
          </w:tcPr>
          <w:p w14:paraId="2509B64F" w14:textId="77777777" w:rsidR="0056252B" w:rsidRDefault="00000000">
            <w:r>
              <w:rPr>
                <w:sz w:val="20"/>
              </w:rPr>
              <w:t>Base</w:t>
            </w:r>
          </w:p>
        </w:tc>
        <w:tc>
          <w:tcPr>
            <w:tcW w:w="680" w:type="dxa"/>
          </w:tcPr>
          <w:p w14:paraId="00A3C567" w14:textId="77777777" w:rsidR="0056252B" w:rsidRDefault="00000000">
            <w:pPr>
              <w:jc w:val="center"/>
            </w:pPr>
            <w:r>
              <w:rPr>
                <w:sz w:val="20"/>
              </w:rPr>
              <w:t>20%</w:t>
            </w:r>
          </w:p>
        </w:tc>
        <w:tc>
          <w:tcPr>
            <w:tcW w:w="624" w:type="dxa"/>
          </w:tcPr>
          <w:p w14:paraId="25D8A596" w14:textId="77777777" w:rsidR="0056252B" w:rsidRDefault="00000000">
            <w:pPr>
              <w:jc w:val="center"/>
            </w:pPr>
            <w:r>
              <w:rPr>
                <w:sz w:val="20"/>
              </w:rPr>
              <w:t>2.0</w:t>
            </w:r>
          </w:p>
        </w:tc>
        <w:tc>
          <w:tcPr>
            <w:tcW w:w="680" w:type="dxa"/>
          </w:tcPr>
          <w:p w14:paraId="03552292" w14:textId="77777777" w:rsidR="0056252B" w:rsidRDefault="00000000">
            <w:pPr>
              <w:jc w:val="center"/>
            </w:pPr>
            <w:r>
              <w:rPr>
                <w:sz w:val="20"/>
              </w:rPr>
              <w:t>0.50</w:t>
            </w:r>
          </w:p>
        </w:tc>
        <w:tc>
          <w:tcPr>
            <w:tcW w:w="1020" w:type="dxa"/>
          </w:tcPr>
          <w:p w14:paraId="741BE70E" w14:textId="77777777" w:rsidR="0056252B" w:rsidRDefault="00000000">
            <w:pPr>
              <w:jc w:val="center"/>
            </w:pPr>
            <w:r>
              <w:rPr>
                <w:sz w:val="20"/>
              </w:rPr>
              <w:t>2.0×</w:t>
            </w:r>
          </w:p>
        </w:tc>
        <w:tc>
          <w:tcPr>
            <w:tcW w:w="1020" w:type="dxa"/>
          </w:tcPr>
          <w:p w14:paraId="6D7C0C7E" w14:textId="77777777" w:rsidR="0056252B" w:rsidRDefault="00000000">
            <w:pPr>
              <w:jc w:val="center"/>
            </w:pPr>
            <w:r>
              <w:rPr>
                <w:sz w:val="20"/>
              </w:rPr>
              <w:t>3.6×</w:t>
            </w:r>
          </w:p>
        </w:tc>
        <w:tc>
          <w:tcPr>
            <w:tcW w:w="1191" w:type="dxa"/>
          </w:tcPr>
          <w:p w14:paraId="4AF8356F" w14:textId="77777777" w:rsidR="0056252B" w:rsidRDefault="00000000">
            <w:pPr>
              <w:jc w:val="center"/>
            </w:pPr>
            <w:r>
              <w:rPr>
                <w:sz w:val="20"/>
              </w:rPr>
              <w:t>17.6×</w:t>
            </w:r>
          </w:p>
        </w:tc>
      </w:tr>
      <w:tr w:rsidR="0056252B" w14:paraId="506FE25F" w14:textId="77777777">
        <w:trPr>
          <w:jc w:val="center"/>
        </w:trPr>
        <w:tc>
          <w:tcPr>
            <w:tcW w:w="1361" w:type="dxa"/>
          </w:tcPr>
          <w:p w14:paraId="7CAC807F" w14:textId="77777777" w:rsidR="0056252B" w:rsidRDefault="00000000">
            <w:r>
              <w:rPr>
                <w:sz w:val="20"/>
              </w:rPr>
              <w:t>Acelerado</w:t>
            </w:r>
          </w:p>
        </w:tc>
        <w:tc>
          <w:tcPr>
            <w:tcW w:w="680" w:type="dxa"/>
          </w:tcPr>
          <w:p w14:paraId="00CA7443" w14:textId="77777777" w:rsidR="0056252B" w:rsidRDefault="00000000">
            <w:pPr>
              <w:jc w:val="center"/>
            </w:pPr>
            <w:r>
              <w:rPr>
                <w:sz w:val="20"/>
              </w:rPr>
              <w:t>25%</w:t>
            </w:r>
          </w:p>
        </w:tc>
        <w:tc>
          <w:tcPr>
            <w:tcW w:w="624" w:type="dxa"/>
          </w:tcPr>
          <w:p w14:paraId="71DAE602" w14:textId="77777777" w:rsidR="0056252B" w:rsidRDefault="00000000">
            <w:pPr>
              <w:jc w:val="center"/>
            </w:pPr>
            <w:r>
              <w:rPr>
                <w:sz w:val="20"/>
              </w:rPr>
              <w:t>4.0</w:t>
            </w:r>
          </w:p>
        </w:tc>
        <w:tc>
          <w:tcPr>
            <w:tcW w:w="680" w:type="dxa"/>
          </w:tcPr>
          <w:p w14:paraId="75B6D95B" w14:textId="77777777" w:rsidR="0056252B" w:rsidRDefault="00000000">
            <w:pPr>
              <w:jc w:val="center"/>
            </w:pPr>
            <w:r>
              <w:rPr>
                <w:sz w:val="20"/>
              </w:rPr>
              <w:t>0.90</w:t>
            </w:r>
          </w:p>
        </w:tc>
        <w:tc>
          <w:tcPr>
            <w:tcW w:w="1020" w:type="dxa"/>
          </w:tcPr>
          <w:p w14:paraId="02BD5C64" w14:textId="77777777" w:rsidR="0056252B" w:rsidRDefault="00000000">
            <w:pPr>
              <w:jc w:val="center"/>
            </w:pPr>
            <w:r>
              <w:rPr>
                <w:sz w:val="20"/>
              </w:rPr>
              <w:t>2.0×</w:t>
            </w:r>
          </w:p>
        </w:tc>
        <w:tc>
          <w:tcPr>
            <w:tcW w:w="1020" w:type="dxa"/>
          </w:tcPr>
          <w:p w14:paraId="358E2432" w14:textId="77777777" w:rsidR="0056252B" w:rsidRDefault="00000000">
            <w:pPr>
              <w:jc w:val="center"/>
            </w:pPr>
            <w:r>
              <w:rPr>
                <w:sz w:val="20"/>
              </w:rPr>
              <w:t>5.3×</w:t>
            </w:r>
          </w:p>
        </w:tc>
        <w:tc>
          <w:tcPr>
            <w:tcW w:w="1191" w:type="dxa"/>
          </w:tcPr>
          <w:p w14:paraId="290F7107" w14:textId="77777777" w:rsidR="0056252B" w:rsidRDefault="00000000">
            <w:pPr>
              <w:jc w:val="center"/>
            </w:pPr>
            <w:r>
              <w:rPr>
                <w:sz w:val="20"/>
              </w:rPr>
              <w:t>46.2×</w:t>
            </w:r>
          </w:p>
        </w:tc>
      </w:tr>
      <w:tr w:rsidR="0056252B" w14:paraId="5A7FC0F3" w14:textId="77777777">
        <w:trPr>
          <w:jc w:val="center"/>
        </w:trPr>
        <w:tc>
          <w:tcPr>
            <w:tcW w:w="1361" w:type="dxa"/>
          </w:tcPr>
          <w:p w14:paraId="6F4C45A1" w14:textId="77777777" w:rsidR="0056252B" w:rsidRDefault="00000000">
            <w:r>
              <w:rPr>
                <w:sz w:val="20"/>
              </w:rPr>
              <w:t>Óptimo</w:t>
            </w:r>
          </w:p>
        </w:tc>
        <w:tc>
          <w:tcPr>
            <w:tcW w:w="680" w:type="dxa"/>
          </w:tcPr>
          <w:p w14:paraId="5C1819A3" w14:textId="77777777" w:rsidR="0056252B" w:rsidRDefault="00000000">
            <w:pPr>
              <w:jc w:val="center"/>
            </w:pPr>
            <w:r>
              <w:rPr>
                <w:sz w:val="20"/>
              </w:rPr>
              <w:t>30%</w:t>
            </w:r>
          </w:p>
        </w:tc>
        <w:tc>
          <w:tcPr>
            <w:tcW w:w="624" w:type="dxa"/>
          </w:tcPr>
          <w:p w14:paraId="239C6E7D" w14:textId="77777777" w:rsidR="0056252B" w:rsidRDefault="00000000">
            <w:pPr>
              <w:jc w:val="center"/>
            </w:pPr>
            <w:r>
              <w:rPr>
                <w:sz w:val="20"/>
              </w:rPr>
              <w:t>6.0</w:t>
            </w:r>
          </w:p>
        </w:tc>
        <w:tc>
          <w:tcPr>
            <w:tcW w:w="680" w:type="dxa"/>
          </w:tcPr>
          <w:p w14:paraId="434776F2" w14:textId="77777777" w:rsidR="0056252B" w:rsidRDefault="00000000">
            <w:pPr>
              <w:jc w:val="center"/>
            </w:pPr>
            <w:r>
              <w:rPr>
                <w:sz w:val="20"/>
              </w:rPr>
              <w:t>1.50</w:t>
            </w:r>
          </w:p>
        </w:tc>
        <w:tc>
          <w:tcPr>
            <w:tcW w:w="1020" w:type="dxa"/>
          </w:tcPr>
          <w:p w14:paraId="27AAEAF9" w14:textId="77777777" w:rsidR="0056252B" w:rsidRDefault="00000000">
            <w:pPr>
              <w:jc w:val="center"/>
            </w:pPr>
            <w:r>
              <w:rPr>
                <w:sz w:val="20"/>
              </w:rPr>
              <w:t>1.8×</w:t>
            </w:r>
          </w:p>
        </w:tc>
        <w:tc>
          <w:tcPr>
            <w:tcW w:w="1020" w:type="dxa"/>
          </w:tcPr>
          <w:p w14:paraId="630509C1" w14:textId="77777777" w:rsidR="0056252B" w:rsidRDefault="00000000">
            <w:pPr>
              <w:jc w:val="center"/>
            </w:pPr>
            <w:r>
              <w:rPr>
                <w:sz w:val="20"/>
              </w:rPr>
              <w:t>6.0×</w:t>
            </w:r>
          </w:p>
        </w:tc>
        <w:tc>
          <w:tcPr>
            <w:tcW w:w="1191" w:type="dxa"/>
          </w:tcPr>
          <w:p w14:paraId="53540CE6" w14:textId="77777777" w:rsidR="0056252B" w:rsidRDefault="00000000">
            <w:pPr>
              <w:jc w:val="center"/>
            </w:pPr>
            <w:r>
              <w:rPr>
                <w:sz w:val="20"/>
              </w:rPr>
              <w:t>96.5×</w:t>
            </w:r>
          </w:p>
        </w:tc>
      </w:tr>
    </w:tbl>
    <w:p w14:paraId="721A0B9B" w14:textId="77777777" w:rsidR="0056252B" w:rsidRDefault="0056252B"/>
    <w:p w14:paraId="6C3C37A3" w14:textId="77777777" w:rsidR="0056252B" w:rsidRDefault="00000000">
      <w:pPr>
        <w:spacing w:after="120"/>
        <w:jc w:val="center"/>
      </w:pPr>
      <w:r>
        <w:rPr>
          <w:i/>
          <w:sz w:val="18"/>
        </w:rPr>
        <w:t>Tabla 4. Parámetros del modelo logístico y factores de multiplicación por escenario (t₀=5, horizonte=10 años). Factores calculados con capital=100, t=2, 4, 10.</w:t>
      </w:r>
    </w:p>
    <w:p w14:paraId="5D2F4B7E" w14:textId="77777777" w:rsidR="0056252B" w:rsidRDefault="00000000">
      <w:pPr>
        <w:spacing w:after="120"/>
        <w:jc w:val="both"/>
      </w:pPr>
      <w:r>
        <w:t>Es importante subrayar que los factores de multiplicación del escenario Óptimo son el resultado matemático de la combinación de una tasa de crecimiento elevada con un factor de autorreplicación logístico significativo, aplicados durante diez años. Estos valores no deben interpretarse como predicciones, sino como la consecuencia lógica del modelo bajo las hipótesis más favorables. La amplitud del rango entre escenarios (17.6× a 96.5×) refleja la incertidumbre sobre K y γ, los dos parámetros que determinan la magnitud y velocidad de la autorreplicación. El factor ×2a del escenario Óptimo (1.8×) es menor que el del Base (2.0×) porque la curva logística concentra su aceleración alrededor de t₀ = 5 años; antes de ese punto, el factor Φ_L aún no ha desplegado su potencial.</w:t>
      </w:r>
    </w:p>
    <w:p w14:paraId="7A701489" w14:textId="77777777" w:rsidR="0056252B" w:rsidRDefault="00000000">
      <w:pPr>
        <w:spacing w:after="120"/>
        <w:jc w:val="both"/>
      </w:pPr>
      <w:r>
        <w:t>La diferencia entre K=2 con γ=0.5 y K=6 con γ=1.5 no es de grado, es de naturaleza: el primero describe un ecosistema de IA que alcanza un multiplicador moderado con adopción gradual; el segundo describe un paradigma que acelera rápidamente hasta un multiplicador seis veces mayor. En ambos casos el crecimiento está acotado (Φ_L → 1+K cuando t → ∞), propiedad que hace al modelo coherente con la teoría de difusión tecnológica de Bass (1969) y verificable empíricamente.</w:t>
      </w:r>
    </w:p>
    <w:p w14:paraId="38D0BDF6" w14:textId="77777777" w:rsidR="0056252B" w:rsidRDefault="00000000">
      <w:pPr>
        <w:pStyle w:val="Ttulo1"/>
      </w:pPr>
      <w:r>
        <w:t>7. Factores de Riesgo y Limitaciones del Modelo</w:t>
      </w:r>
    </w:p>
    <w:p w14:paraId="3B145950" w14:textId="77777777" w:rsidR="0056252B" w:rsidRDefault="00000000">
      <w:pPr>
        <w:pStyle w:val="Ttulo2"/>
      </w:pPr>
      <w:r>
        <w:t>7.1 Riesgos de la tesis</w:t>
      </w:r>
    </w:p>
    <w:p w14:paraId="16B32ED4" w14:textId="77777777" w:rsidR="0056252B" w:rsidRDefault="00000000">
      <w:pPr>
        <w:pStyle w:val="Listaconvietas"/>
        <w:spacing w:after="60"/>
        <w:ind w:left="567"/>
        <w:jc w:val="both"/>
      </w:pPr>
      <w:r>
        <w:t>Obsolescencia del cobre: si se valida industrialmente el uso de grafeno u otros nanomateriales como sustitutos del cobre a escala (TRL &gt; 7), las posiciones en metales industriales perderían su fundamento. El umbral de alerta es la validación comercial, no el laboratorio.</w:t>
      </w:r>
    </w:p>
    <w:p w14:paraId="7318298B" w14:textId="77777777" w:rsidR="0056252B" w:rsidRDefault="00000000">
      <w:pPr>
        <w:pStyle w:val="Listaconvietas"/>
        <w:spacing w:after="60"/>
        <w:ind w:left="567"/>
        <w:jc w:val="both"/>
      </w:pPr>
      <w:r>
        <w:t>Saturación energética: el anuncio de fusión nuclear neta comercialmente viable antes de 2030 cambiaría radicalmente el caso de inversión en uranio y utilities, al hacer obsoletos los reactores de fisión como fuente de energía basal.</w:t>
      </w:r>
    </w:p>
    <w:p w14:paraId="00FEB1FC" w14:textId="77777777" w:rsidR="0056252B" w:rsidRDefault="00000000">
      <w:pPr>
        <w:pStyle w:val="Listaconvietas"/>
        <w:spacing w:after="60"/>
        <w:ind w:left="567"/>
        <w:jc w:val="both"/>
      </w:pPr>
      <w:r>
        <w:t>Riesgo regulatorio sobre Bitcoin: legislación que limite la identidad de máquina en blockchain o que restrinja el uso de Bitcoin por agentes de IA afectaría directamente al pilar de escasez digital.</w:t>
      </w:r>
    </w:p>
    <w:p w14:paraId="45FEC705" w14:textId="77777777" w:rsidR="0056252B" w:rsidRDefault="00000000">
      <w:pPr>
        <w:pStyle w:val="Listaconvietas"/>
        <w:spacing w:after="60"/>
        <w:ind w:left="567"/>
        <w:jc w:val="both"/>
      </w:pPr>
      <w:r>
        <w:t>Deflación masiva de capex de IA: si el coste de hardware de inferencia cae &gt;80% en dos años, la demanda de chips especializados podría colapsar, afectando al pilar de autorreplicación.</w:t>
      </w:r>
    </w:p>
    <w:p w14:paraId="5A25E6AE" w14:textId="77777777" w:rsidR="0056252B" w:rsidRDefault="00000000">
      <w:pPr>
        <w:pStyle w:val="Listaconvietas"/>
        <w:spacing w:after="60"/>
        <w:ind w:left="567"/>
        <w:jc w:val="both"/>
      </w:pPr>
      <w:r>
        <w:lastRenderedPageBreak/>
        <w:t>Concentración de mercado: la tesis asume competencia en el desarrollo de LLMs. Un escenario de monopolio regulado por un único actor estatal podría cambiar radicalmente los incentivos del ecosistema.</w:t>
      </w:r>
    </w:p>
    <w:p w14:paraId="7B0F7AAC" w14:textId="77777777" w:rsidR="0056252B" w:rsidRDefault="00000000">
      <w:pPr>
        <w:pStyle w:val="Ttulo2"/>
      </w:pPr>
      <w:r>
        <w:t>7.2 Limitaciones del modelo matemático</w:t>
      </w:r>
    </w:p>
    <w:p w14:paraId="1BE2140B" w14:textId="77777777" w:rsidR="0056252B" w:rsidRDefault="00000000">
      <w:pPr>
        <w:spacing w:after="120"/>
        <w:jc w:val="both"/>
      </w:pPr>
      <w:r>
        <w:t>El modelo V(t) = Capital × (1+r)^t × Φ_L(t) presenta varias limitaciones metodológicas que deben tenerse en cuenta al interpretar sus proyecciones:</w:t>
      </w:r>
    </w:p>
    <w:p w14:paraId="4B27B1B4" w14:textId="77777777" w:rsidR="0056252B" w:rsidRDefault="00000000">
      <w:pPr>
        <w:pStyle w:val="Listaconvietas"/>
        <w:spacing w:after="60"/>
        <w:ind w:left="567"/>
        <w:jc w:val="both"/>
      </w:pPr>
      <w:r>
        <w:t>Parámetro K parcialmente no calibrable desde datos de mercado: a diferencia de r (calibrable desde SOX) y γ (calibrable desde cadencia LLM), K representa el multiplicador máximo de autorreplicación en el estado maduro del ecosistema, lo que requiere hipótesis sobre el estado final de la IA que no son completamente objetivables. K se calibra actualmente desde ratios de expansión del TAM de IA, que son en sí mismos estimaciones con alta incertidumbre.</w:t>
      </w:r>
    </w:p>
    <w:p w14:paraId="4CD919B6" w14:textId="77777777" w:rsidR="0056252B" w:rsidRDefault="00000000">
      <w:pPr>
        <w:pStyle w:val="Listaconvietas"/>
        <w:spacing w:after="60"/>
        <w:ind w:left="567"/>
        <w:jc w:val="both"/>
      </w:pPr>
      <w:r>
        <w:t>Sensibilidad al año de inflexión t₀: el valor a 10 años es especialmente sensible a la posición de t₀ relativa al horizonte de proyección. Si t₀ = 8 en lugar de t₀ = 5, la S-curve apenas ha completado su transición en el horizonte analizado, reduciendo los factores de multiplicación de forma sustancial. Esta sensibilidad debe comunicarse explícitamente en cualquier presentación de los escenarios.</w:t>
      </w:r>
    </w:p>
    <w:p w14:paraId="3FBC345B" w14:textId="77777777" w:rsidR="0056252B" w:rsidRDefault="00000000">
      <w:pPr>
        <w:pStyle w:val="Listaconvietas"/>
        <w:spacing w:after="60"/>
        <w:ind w:left="567"/>
        <w:jc w:val="both"/>
      </w:pPr>
      <w:r>
        <w:t>Sin correlación entre activos: el modelo trata cada pilar de forma independiente y no modela la correlación entre categorías, lo que subestima el riesgo de caídas simultáneas en escenarios de stress sistémico.</w:t>
      </w:r>
    </w:p>
    <w:p w14:paraId="32316DB6" w14:textId="77777777" w:rsidR="0056252B" w:rsidRDefault="00000000">
      <w:pPr>
        <w:pStyle w:val="Listaconvietas"/>
        <w:spacing w:after="60"/>
        <w:ind w:left="567"/>
        <w:jc w:val="both"/>
      </w:pPr>
      <w:r>
        <w:t>Backtesting limitado: dado que varios de los activos del modelo (ETFs de quantum computing, smart grid infrastructure) tienen historiales de precios inferiores a cinco años, no es posible realizar un backtesting estadísticamente robusto.</w:t>
      </w:r>
    </w:p>
    <w:p w14:paraId="2D4AB31D" w14:textId="77777777" w:rsidR="0056252B" w:rsidRDefault="00000000">
      <w:pPr>
        <w:pStyle w:val="Ttulo1"/>
      </w:pPr>
      <w:r>
        <w:t>8. Conclusiones</w:t>
      </w:r>
    </w:p>
    <w:p w14:paraId="25C62AC4" w14:textId="77777777" w:rsidR="0056252B" w:rsidRDefault="00000000">
      <w:pPr>
        <w:spacing w:after="120"/>
        <w:jc w:val="both"/>
      </w:pPr>
      <w:r>
        <w:t>Este paper ha presentado el modelo Escasez y Resiliencia como un marco matemático tractable para invertir en la intersección de la escasez física y digital durante el período de despliegue masivo de la inteligencia artificial. Los principales hallazgos son:</w:t>
      </w:r>
    </w:p>
    <w:p w14:paraId="3E6362C4" w14:textId="77777777" w:rsidR="0056252B" w:rsidRDefault="00000000">
      <w:pPr>
        <w:pStyle w:val="Listaconvietas"/>
        <w:spacing w:after="60"/>
        <w:ind w:left="567"/>
        <w:jc w:val="both"/>
      </w:pPr>
      <w:r>
        <w:t>El modelo V(t) = Capital × (1+r)^t × Φ_L(t) captura de forma parsimoniosa la doble naturaleza del crecimiento del ecosistema de IA: un componente de crecimiento compuesto calibrable desde datos de mercado (r_IA ≈ SOX trailing 12M / 100) y un factor logístico de autorreplicación Φ_L(t) = 1 + K / (1 + e^(−γ(t − t₀))) con parámetros interpretables: K (multiplicador máximo), γ (velocidad de adopción, calibrable desde la cadencia de releases LLM) y t₀ (año de inflexión, detectable via la señal SOX/Cobre).</w:t>
      </w:r>
    </w:p>
    <w:p w14:paraId="05D0D093" w14:textId="77777777" w:rsidR="0056252B" w:rsidRDefault="00000000">
      <w:pPr>
        <w:pStyle w:val="Listaconvietas"/>
        <w:spacing w:after="60"/>
        <w:ind w:left="567"/>
        <w:jc w:val="both"/>
      </w:pPr>
      <w:r>
        <w:t>La Correlación SOX/Cobre es el indicador de paradigma más relevante para la gestión táctica de la cartera: la Divergencia (SOX sube, Cobre baja) señala el momento en que el valor se transfiere de los activos físicos a los digitales.</w:t>
      </w:r>
    </w:p>
    <w:p w14:paraId="36DE42F0" w14:textId="77777777" w:rsidR="0056252B" w:rsidRDefault="00000000">
      <w:pPr>
        <w:pStyle w:val="Listaconvietas"/>
        <w:spacing w:after="60"/>
        <w:ind w:left="567"/>
        <w:jc w:val="both"/>
      </w:pPr>
      <w:r>
        <w:t>Los cinco pilares de la cartera cubren de forma complementaria tanto los activos que la IA necesita hoy (cobre, uranio, chips) como los que se aprecian a medida que la IA se vuelve más autónoma (Bitcoin, robótica) y los que protegen ante escenarios adversos (renta variable global).</w:t>
      </w:r>
    </w:p>
    <w:p w14:paraId="07BAB91F" w14:textId="77777777" w:rsidR="0056252B" w:rsidRDefault="00000000">
      <w:pPr>
        <w:pStyle w:val="Listaconvietas"/>
        <w:spacing w:after="60"/>
        <w:ind w:left="567"/>
        <w:jc w:val="both"/>
      </w:pPr>
      <w:r>
        <w:t>La revisión trimestral de los parámetros, documentando los criterios utilizados en cada ajuste, es esencial para mantener la coherencia y reproducibilidad del proceso de inversión a lo largo del tiempo.</w:t>
      </w:r>
    </w:p>
    <w:p w14:paraId="215C9C20" w14:textId="77777777" w:rsidR="0056252B" w:rsidRDefault="00000000">
      <w:pPr>
        <w:spacing w:after="120"/>
        <w:jc w:val="both"/>
      </w:pPr>
      <w:r>
        <w:lastRenderedPageBreak/>
        <w:t>La pregunta central que articula toda la tesis permanece abierta: ¿cuándo la IA dejará de necesitar hierro? El modelo propuesto no responde a esta pregunta, pero sí proporciona las herramientas para detectar cuándo la respuesta está comenzando a materializarse en los precios de mercado. Esa capacidad de detección temprana — más que la precisión de las proyecciones — es el valor principal del framework presentado.</w:t>
      </w:r>
    </w:p>
    <w:p w14:paraId="78DE4480" w14:textId="77777777" w:rsidR="0056252B" w:rsidRDefault="00000000">
      <w:pPr>
        <w:pStyle w:val="Ttulo1"/>
      </w:pPr>
      <w:r>
        <w:t>Referencias</w:t>
      </w:r>
    </w:p>
    <w:p w14:paraId="01F6CA48" w14:textId="77777777" w:rsidR="0056252B" w:rsidRDefault="00000000">
      <w:pPr>
        <w:spacing w:after="80"/>
        <w:ind w:left="567" w:hanging="567"/>
        <w:jc w:val="both"/>
      </w:pPr>
      <w:r>
        <w:rPr>
          <w:sz w:val="20"/>
        </w:rPr>
        <w:t>Bass, F. M. (1969). A new product growth for model consumer durables. Management Science, 15(5), 215–227. https://doi.org/10.1287/mnsc.15.5.215</w:t>
      </w:r>
    </w:p>
    <w:p w14:paraId="73BACF4B" w14:textId="77777777" w:rsidR="0056252B" w:rsidRDefault="00000000">
      <w:pPr>
        <w:spacing w:after="80"/>
        <w:ind w:left="567" w:hanging="567"/>
        <w:jc w:val="both"/>
      </w:pPr>
      <w:r>
        <w:rPr>
          <w:sz w:val="20"/>
        </w:rPr>
        <w:t>Rogers, E. M. (2003). Diffusion of Innovations (5th ed.). Free Press.</w:t>
      </w:r>
    </w:p>
    <w:p w14:paraId="60AF77B8" w14:textId="77777777" w:rsidR="0056252B" w:rsidRDefault="00000000">
      <w:pPr>
        <w:spacing w:after="80"/>
        <w:ind w:left="567" w:hanging="567"/>
        <w:jc w:val="both"/>
      </w:pPr>
      <w:r>
        <w:rPr>
          <w:sz w:val="20"/>
        </w:rPr>
        <w:t>Markowitz, H. (1952). Portfolio selection. The Journal of Finance, 7(1), 77–91. https://doi.org/10.2307/2975974</w:t>
      </w:r>
    </w:p>
    <w:p w14:paraId="4690A7D5" w14:textId="77777777" w:rsidR="0056252B" w:rsidRDefault="00000000">
      <w:pPr>
        <w:spacing w:after="80"/>
        <w:ind w:left="567" w:hanging="567"/>
        <w:jc w:val="both"/>
      </w:pPr>
      <w:r>
        <w:rPr>
          <w:sz w:val="20"/>
        </w:rPr>
        <w:t>Fama, E. F. (1970). Efficient capital markets: A review of theory and empirical work. The Journal of Finance, 25(2), 383–417. https://doi.org/10.2307/2325486</w:t>
      </w:r>
    </w:p>
    <w:p w14:paraId="368375FD" w14:textId="77777777" w:rsidR="0056252B" w:rsidRDefault="00000000">
      <w:pPr>
        <w:spacing w:after="80"/>
        <w:ind w:left="567" w:hanging="567"/>
        <w:jc w:val="both"/>
      </w:pPr>
      <w:r>
        <w:rPr>
          <w:sz w:val="20"/>
        </w:rPr>
        <w:t>Romer, P. M. (1990). Endogenous technological change. Journal of Political Economy, 98(5, Part 2), S71–S102. https://doi.org/10.1086/261725</w:t>
      </w:r>
    </w:p>
    <w:p w14:paraId="6C523C0E" w14:textId="77777777" w:rsidR="0056252B" w:rsidRDefault="00000000">
      <w:pPr>
        <w:spacing w:after="80"/>
        <w:ind w:left="567" w:hanging="567"/>
        <w:jc w:val="both"/>
      </w:pPr>
      <w:r>
        <w:rPr>
          <w:sz w:val="20"/>
        </w:rPr>
        <w:t>Brynjolfsson, E., &amp; McAfee, A. (2014). The Second Machine Age: Work, Progress, and Prosperity in a Time of Brilliant Technologies. W. W. Norton &amp; Company.</w:t>
      </w:r>
    </w:p>
    <w:p w14:paraId="29D6DA6D" w14:textId="77777777" w:rsidR="0056252B" w:rsidRDefault="00000000">
      <w:pPr>
        <w:spacing w:after="80"/>
        <w:ind w:left="567" w:hanging="567"/>
        <w:jc w:val="both"/>
      </w:pPr>
      <w:r>
        <w:rPr>
          <w:sz w:val="20"/>
        </w:rPr>
        <w:t>Kaplan, J., McCandlish, S., Henighan, T., Brown, T. B., Chess, B., Child, R., … Amodei, D. (2020). Scaling laws for neural language models. arXiv:2001.08361. https://arxiv.org/abs/2001.08361</w:t>
      </w:r>
    </w:p>
    <w:p w14:paraId="32864C4F" w14:textId="77777777" w:rsidR="0056252B" w:rsidRDefault="00000000">
      <w:pPr>
        <w:spacing w:after="80"/>
        <w:ind w:left="567" w:hanging="567"/>
        <w:jc w:val="both"/>
      </w:pPr>
      <w:r>
        <w:rPr>
          <w:sz w:val="20"/>
        </w:rPr>
        <w:t>Nakamoto, S. (2008). Bitcoin: A peer-to-peer electronic cash system. Retrieved from https://bitcoin.org/bitcoin.pdf</w:t>
      </w:r>
    </w:p>
    <w:p w14:paraId="652A3BD4" w14:textId="77777777" w:rsidR="0056252B" w:rsidRDefault="00000000">
      <w:pPr>
        <w:spacing w:after="80"/>
        <w:ind w:left="567" w:hanging="567"/>
        <w:jc w:val="both"/>
      </w:pPr>
      <w:r>
        <w:rPr>
          <w:sz w:val="20"/>
        </w:rPr>
        <w:t>Yermack, D. (2015). Is Bitcoin a real currency? An economic appraisal. In D. L. K. Chuen (Ed.), Handbook of Digital Currency (pp. 31–43). Academic Press. https://doi.org/10.1016/B978-0-12-802117-0.00002-3</w:t>
      </w:r>
    </w:p>
    <w:p w14:paraId="204618A6" w14:textId="77777777" w:rsidR="0056252B" w:rsidRDefault="00000000">
      <w:pPr>
        <w:spacing w:after="80"/>
        <w:ind w:left="567" w:hanging="567"/>
        <w:jc w:val="both"/>
      </w:pPr>
      <w:r>
        <w:rPr>
          <w:sz w:val="20"/>
        </w:rPr>
        <w:t>International Energy Agency. (2021). The Role of Critical Minerals in Clean Energy Transitions. IEA. https://www.iea.org/reports/the-role-of-critical-minerals-in-clean-energy-transitions</w:t>
      </w:r>
    </w:p>
    <w:p w14:paraId="3C2C499C" w14:textId="77777777" w:rsidR="0056252B" w:rsidRDefault="00000000">
      <w:pPr>
        <w:spacing w:after="80"/>
        <w:ind w:left="567" w:hanging="567"/>
        <w:jc w:val="both"/>
      </w:pPr>
      <w:r>
        <w:rPr>
          <w:sz w:val="20"/>
        </w:rPr>
        <w:t>Christensen, C. M. (1997). The Innovator's Dilemma: When New Technologies Cause Great Firms to Fail. Harvard Business School Press.</w:t>
      </w:r>
    </w:p>
    <w:p w14:paraId="0A10AD15" w14:textId="77777777" w:rsidR="0056252B" w:rsidRDefault="00000000">
      <w:pPr>
        <w:spacing w:after="80"/>
        <w:ind w:left="567" w:hanging="567"/>
        <w:jc w:val="both"/>
      </w:pPr>
      <w:r>
        <w:rPr>
          <w:sz w:val="20"/>
        </w:rPr>
        <w:t>Goodfellow, I., Bengio, Y., &amp; Courville, A. (2016). Deep Learning. MIT Press. Retrieved from https://www.deeplearningbook.org</w:t>
      </w:r>
    </w:p>
    <w:p w14:paraId="3CCCB614" w14:textId="77777777" w:rsidR="0056252B" w:rsidRDefault="00000000">
      <w:pPr>
        <w:spacing w:after="80"/>
        <w:ind w:left="567" w:hanging="567"/>
        <w:jc w:val="both"/>
      </w:pPr>
      <w:r>
        <w:rPr>
          <w:sz w:val="20"/>
        </w:rPr>
        <w:t>Schumpeter, J. A. (1942). Capitalism, Socialism and Democracy. Harper &amp; Brothers.</w:t>
      </w:r>
    </w:p>
    <w:p w14:paraId="1471E0A1" w14:textId="77777777" w:rsidR="0056252B" w:rsidRDefault="00000000">
      <w:pPr>
        <w:spacing w:after="80"/>
        <w:ind w:left="567" w:hanging="567"/>
        <w:jc w:val="both"/>
      </w:pPr>
      <w:r>
        <w:rPr>
          <w:sz w:val="20"/>
        </w:rPr>
        <w:t xml:space="preserve">Verhulst, P.-F. (1838). Notice sur la loi que la population suit dans son accroissement. </w:t>
      </w:r>
      <w:r>
        <w:rPr>
          <w:i/>
          <w:sz w:val="20"/>
        </w:rPr>
        <w:t>Correspondance Mathématique et Physique</w:t>
      </w:r>
      <w:r>
        <w:rPr>
          <w:sz w:val="20"/>
        </w:rPr>
        <w:t>, 10, 113–121.</w:t>
      </w:r>
    </w:p>
    <w:p w14:paraId="6FC33F47" w14:textId="77777777" w:rsidR="0056252B" w:rsidRDefault="00000000">
      <w:r>
        <w:br w:type="page"/>
      </w:r>
    </w:p>
    <w:p w14:paraId="305F68E0" w14:textId="77777777" w:rsidR="0056252B" w:rsidRDefault="00000000">
      <w:pPr>
        <w:pStyle w:val="Ttulo1"/>
      </w:pPr>
      <w:r>
        <w:lastRenderedPageBreak/>
        <w:t>Nota del Autor</w:t>
      </w:r>
    </w:p>
    <w:p w14:paraId="57472A5F" w14:textId="583BD572" w:rsidR="0056252B" w:rsidRPr="0016237B" w:rsidRDefault="00000000">
      <w:pPr>
        <w:spacing w:after="120"/>
        <w:jc w:val="both"/>
        <w:rPr>
          <w:i/>
          <w:sz w:val="20"/>
        </w:rPr>
      </w:pPr>
      <w:r>
        <w:rPr>
          <w:i/>
          <w:sz w:val="20"/>
        </w:rPr>
        <w:t>Jose Antonio Vilar es professional I</w:t>
      </w:r>
      <w:r w:rsidR="0016237B">
        <w:rPr>
          <w:i/>
          <w:sz w:val="20"/>
        </w:rPr>
        <w:t xml:space="preserve">T </w:t>
      </w:r>
      <w:proofErr w:type="spellStart"/>
      <w:r w:rsidR="0016237B">
        <w:rPr>
          <w:i/>
          <w:sz w:val="20"/>
        </w:rPr>
        <w:t>en</w:t>
      </w:r>
      <w:proofErr w:type="spellEnd"/>
      <w:r w:rsidR="0016237B">
        <w:rPr>
          <w:i/>
          <w:sz w:val="20"/>
        </w:rPr>
        <w:t xml:space="preserve"> la Universidad Politécnica de Madrid </w:t>
      </w:r>
      <w:r>
        <w:rPr>
          <w:i/>
          <w:sz w:val="20"/>
        </w:rPr>
        <w:t>y estudiante del Grado en Ciencia de Datos de la Universitat Oberta de Catalunya (UOC). Este paper es un working paper de investigación personal que combina su experiencia personal en mercados financieros con el rigor analítico de su formación académica en curso. Las proyecciones presentadas son el resultado de la aplicación del modelo matemático descrito y no constituyen asesoramiento financiero ni recomendación de inversión. El autor mantiene posiciones en los activos mencionados. Los resultados pasados no garantizan resultados futuros. Toda inversión conlleva riesgo de pérdida parcial o total del capital invertido.</w:t>
      </w:r>
    </w:p>
    <w:p w14:paraId="603165E9" w14:textId="77777777" w:rsidR="0056252B" w:rsidRDefault="00000000">
      <w:pPr>
        <w:spacing w:after="120"/>
        <w:jc w:val="both"/>
      </w:pPr>
      <w:r>
        <w:rPr>
          <w:i/>
          <w:sz w:val="20"/>
        </w:rPr>
        <w:t>El autor agradece las conversaciones con la comunidad inversora que han contribuido a refinar los argumentos presentados en este paper. Los errores que pudieran subsistir son responsabilidad exclusiva del autor.</w:t>
      </w:r>
    </w:p>
    <w:p w14:paraId="75439D15" w14:textId="0A0761C9" w:rsidR="00BC5724" w:rsidRDefault="00000000" w:rsidP="00BC5724">
      <w:pPr>
        <w:spacing w:after="600" w:line="480" w:lineRule="auto"/>
        <w:rPr>
          <w:i/>
          <w:sz w:val="20"/>
        </w:rPr>
      </w:pPr>
      <w:r>
        <w:rPr>
          <w:i/>
          <w:sz w:val="20"/>
        </w:rPr>
        <w:t xml:space="preserve">Contacto: </w:t>
      </w:r>
      <w:proofErr w:type="spellStart"/>
      <w:r w:rsidR="00BC5724">
        <w:rPr>
          <w:i/>
          <w:sz w:val="20"/>
        </w:rPr>
        <w:t>qmetrika</w:t>
      </w:r>
      <w:proofErr w:type="spellEnd"/>
      <w:r w:rsidR="00BC5724">
        <w:rPr>
          <w:i/>
          <w:sz w:val="20"/>
        </w:rPr>
        <w:t>[@]proton.me</w:t>
      </w:r>
    </w:p>
    <w:p w14:paraId="621F8EF5" w14:textId="3DEE21A5" w:rsidR="0056252B" w:rsidRPr="009F22BD" w:rsidRDefault="0056252B" w:rsidP="004710CF">
      <w:pPr>
        <w:spacing w:after="120" w:line="480" w:lineRule="auto"/>
        <w:jc w:val="both"/>
        <w:rPr>
          <w:i/>
          <w:sz w:val="20"/>
        </w:rPr>
      </w:pPr>
    </w:p>
    <w:sectPr w:rsidR="0056252B" w:rsidRPr="009F22BD"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9884322">
    <w:abstractNumId w:val="8"/>
  </w:num>
  <w:num w:numId="2" w16cid:durableId="1352030567">
    <w:abstractNumId w:val="6"/>
  </w:num>
  <w:num w:numId="3" w16cid:durableId="1851601769">
    <w:abstractNumId w:val="5"/>
  </w:num>
  <w:num w:numId="4" w16cid:durableId="1571423679">
    <w:abstractNumId w:val="4"/>
  </w:num>
  <w:num w:numId="5" w16cid:durableId="1046682621">
    <w:abstractNumId w:val="7"/>
  </w:num>
  <w:num w:numId="6" w16cid:durableId="1002121410">
    <w:abstractNumId w:val="3"/>
  </w:num>
  <w:num w:numId="7" w16cid:durableId="1849520376">
    <w:abstractNumId w:val="2"/>
  </w:num>
  <w:num w:numId="8" w16cid:durableId="2106067781">
    <w:abstractNumId w:val="1"/>
  </w:num>
  <w:num w:numId="9" w16cid:durableId="149795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CA1"/>
    <w:rsid w:val="0015074B"/>
    <w:rsid w:val="0016237B"/>
    <w:rsid w:val="0029639D"/>
    <w:rsid w:val="002A2099"/>
    <w:rsid w:val="00326F90"/>
    <w:rsid w:val="003C2138"/>
    <w:rsid w:val="004710CF"/>
    <w:rsid w:val="00496907"/>
    <w:rsid w:val="0056252B"/>
    <w:rsid w:val="00676E53"/>
    <w:rsid w:val="009F22BD"/>
    <w:rsid w:val="00AA1D8D"/>
    <w:rsid w:val="00B47730"/>
    <w:rsid w:val="00BC572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90643"/>
  <w14:defaultImageDpi w14:val="300"/>
  <w15:docId w15:val="{70A650BB-6DC5-F845-9F0E-F670A183B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26"/>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4573</Words>
  <Characters>25565</Characters>
  <Application>Microsoft Office Word</Application>
  <DocSecurity>0</DocSecurity>
  <Lines>521</Lines>
  <Paragraphs>276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Antonio Vilar</cp:lastModifiedBy>
  <cp:revision>7</cp:revision>
  <cp:lastPrinted>2026-03-20T15:27:00Z</cp:lastPrinted>
  <dcterms:created xsi:type="dcterms:W3CDTF">2013-12-23T23:15:00Z</dcterms:created>
  <dcterms:modified xsi:type="dcterms:W3CDTF">2026-03-20T15:29:00Z</dcterms:modified>
  <cp:category/>
</cp:coreProperties>
</file>