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0F2E44"/>
          <w:sz w:val="56"/>
        </w:rPr>
        <w:t>WaterWeave-Tietê</w:t>
      </w:r>
    </w:p>
    <w:p>
      <w:pPr>
        <w:jc w:val="center"/>
      </w:pPr>
      <w:r>
        <w:rPr>
          <w:b/>
          <w:color w:val="C9A227"/>
          <w:sz w:val="34"/>
        </w:rPr>
        <w:t>Granularidade Espacial dos Trechos do Rio Tietê</w:t>
      </w:r>
    </w:p>
    <w:p>
      <w:pPr>
        <w:spacing w:before="280"/>
        <w:jc w:val="center"/>
      </w:pPr>
      <w:r>
        <w:rPr>
          <w:i/>
          <w:color w:val="55697A"/>
          <w:sz w:val="24"/>
        </w:rPr>
        <w:t>Como dividir o eixo do rio para ganhar granularidade e confiança nos resultados — análise comparando o recorte atual (3 trechos) contra alternativas mais finas, com base nas 32 estações reais de monitoramento da CETESB já ingeridas no projeto.</w:t>
      </w:r>
    </w:p>
    <w:p>
      <w:pPr>
        <w:spacing w:before="4000"/>
        <w:jc w:val="center"/>
      </w:pPr>
      <w:r>
        <w:rPr>
          <w:color w:val="55697A"/>
          <w:sz w:val="22"/>
        </w:rPr>
        <w:t>Setembro de 2026</w:t>
      </w:r>
    </w:p>
    <w:p>
      <w:r>
        <w:br w:type="page"/>
      </w:r>
    </w:p>
    <w:p>
      <w:pPr>
        <w:pStyle w:val="Heading1"/>
        <w:spacing w:before="440" w:after="200"/>
      </w:pPr>
      <w:r>
        <w:rPr>
          <w:b/>
          <w:color w:val="0F2E44"/>
          <w:sz w:val="36"/>
        </w:rPr>
        <w:t>Sumário Executivo</w:t>
      </w:r>
    </w:p>
    <w:p>
      <w:pPr>
        <w:spacing w:after="160"/>
        <w:jc w:val="both"/>
      </w:pPr>
      <w:r>
        <w:rPr>
          <w:i w:val="0"/>
          <w:sz w:val="22"/>
        </w:rPr>
        <w:t>O projeto hoje divide o Rio Tietê em 3 trechos (Alto, Médio, Baixo). Esta análise investiga, com dados reais já ingeridos (32 estações de monitoramento da CETESB no eixo do Tietê, 1978-2024), se uma divisão mais fina melhoraria a confiança dos resultados de ML e biofísicos — e a que custo.</w:t>
      </w:r>
    </w:p>
    <w:tbl>
      <w:tblPr>
        <w:tblW w:type="auto" w:w="0"/>
        <w:jc w:val="center"/>
        <w:tblLook w:firstColumn="1" w:firstRow="1" w:lastColumn="0" w:lastRow="0" w:noHBand="0" w:noVBand="1" w:val="04A0"/>
      </w:tblPr>
      <w:tblGrid>
        <w:gridCol w:w="9746"/>
      </w:tblGrid>
      <w:tr>
        <w:tc>
          <w:tcPr>
            <w:tcW w:type="dxa" w:w="9746"/>
            <w:shd w:val="clear" w:color="auto" w:fill="FDF6E0"/>
          </w:tcPr>
          <w:p>
            <w:pPr>
              <w:spacing w:after="80"/>
            </w:pPr>
            <w:r>
              <w:rPr>
                <w:b/>
                <w:color w:val="C9A227"/>
                <w:sz w:val="22"/>
              </w:rPr>
              <w:t>Achado central:</w:t>
            </w:r>
          </w:p>
          <w:p>
            <w:pPr>
              <w:jc w:val="both"/>
            </w:pPr>
            <w:r>
              <w:rPr>
                <w:sz w:val="21"/>
              </w:rPr>
              <w:t>O recorte atual de "Médio Tietê" não é uma unidade hidrológica única — é a FUSÃO de 3 unidades oficiais de gerenciamento de recursos hídricos do Estado de São Paulo (UGRHIs) distintas: Sorocaba/Médio Tietê, Tietê/Jacaré e Tietê/Batalha. Essa fusão já está no código (`silver_estacoes._ugrhi_para_trecho`), documentada, mas nunca explorada como oportunidade de granularidade — é o ponto de partida mais concreto para dividir o rio em mais partes sem precisar de nenhum dado novo.</w:t>
            </w:r>
          </w:p>
        </w:tc>
      </w:tr>
    </w:tbl>
    <w:p/>
    <w:p>
      <w:pPr>
        <w:pStyle w:val="Heading1"/>
        <w:spacing w:before="440" w:after="200"/>
      </w:pPr>
      <w:r>
        <w:rPr>
          <w:b/>
          <w:color w:val="0F2E44"/>
          <w:sz w:val="36"/>
        </w:rPr>
        <w:t>1. Como os Trechos São Definidos Hoje</w:t>
      </w:r>
    </w:p>
    <w:p>
      <w:pPr>
        <w:spacing w:after="160"/>
        <w:jc w:val="both"/>
      </w:pPr>
      <w:r>
        <w:rPr>
          <w:i w:val="0"/>
          <w:sz w:val="22"/>
        </w:rPr>
        <w:t>A classificação trecho_id vem do UGRHI (Unidade de Gerenciamento de Recursos Hídricos) oficial de cada estação de monitoramento — não é uma divisão inventada pelo projeto, é a regionalização hidrográfica que o próprio Estado de São Paulo usa. O código do projeto (`silver_estacoes.py`) agrupa esses UGRHIs em só 3 rótulos:</w:t>
      </w:r>
    </w:p>
    <w:tbl>
      <w:tblPr>
        <w:tblW w:type="auto" w:w="0"/>
        <w:jc w:val="center"/>
        <w:tblLook w:firstColumn="1" w:firstRow="1" w:lastColumn="0" w:lastRow="0" w:noHBand="0" w:noVBand="1" w:val="04A0"/>
      </w:tblPr>
      <w:tblGrid>
        <w:gridCol w:w="1984"/>
        <w:gridCol w:w="4252"/>
        <w:gridCol w:w="1701"/>
      </w:tblGrid>
      <w:tr>
        <w:tc>
          <w:tcPr>
            <w:tcW w:type="dxa" w:w="3249"/>
            <w:shd w:val="clear" w:color="auto" w:fill="1F5FA8"/>
          </w:tcPr>
          <w:p>
            <w:pPr>
              <w:jc w:val="center"/>
            </w:pPr>
            <w:r>
              <w:rPr>
                <w:b/>
                <w:color w:val="FFFFFF"/>
                <w:sz w:val="20"/>
              </w:rPr>
              <w:t>trecho_id do projeto</w:t>
            </w:r>
          </w:p>
        </w:tc>
        <w:tc>
          <w:tcPr>
            <w:tcW w:type="dxa" w:w="3249"/>
            <w:shd w:val="clear" w:color="auto" w:fill="1F5FA8"/>
          </w:tcPr>
          <w:p>
            <w:pPr>
              <w:jc w:val="center"/>
            </w:pPr>
            <w:r>
              <w:rPr>
                <w:b/>
                <w:color w:val="FFFFFF"/>
                <w:sz w:val="20"/>
              </w:rPr>
              <w:t>UGRHIs oficiais agrupados dentro dele</w:t>
            </w:r>
          </w:p>
        </w:tc>
        <w:tc>
          <w:tcPr>
            <w:tcW w:type="dxa" w:w="3249"/>
            <w:shd w:val="clear" w:color="auto" w:fill="1F5FA8"/>
          </w:tcPr>
          <w:p>
            <w:pPr>
              <w:jc w:val="center"/>
            </w:pPr>
            <w:r>
              <w:rPr>
                <w:b/>
                <w:color w:val="FFFFFF"/>
                <w:sz w:val="20"/>
              </w:rPr>
              <w:t>Nº de estações reais</w:t>
            </w:r>
          </w:p>
        </w:tc>
      </w:tr>
      <w:tr>
        <w:tc>
          <w:tcPr>
            <w:tcW w:type="dxa" w:w="1984"/>
            <w:shd w:val="clear" w:color="auto" w:fill="F7FAFD"/>
          </w:tcPr>
          <w:p>
            <w:pPr>
              <w:jc w:val="left"/>
            </w:pPr>
            <w:r>
              <w:rPr>
                <w:b/>
                <w:sz w:val="19"/>
              </w:rPr>
              <w:t>alto_tiete</w:t>
            </w:r>
          </w:p>
        </w:tc>
        <w:tc>
          <w:tcPr>
            <w:tcW w:type="dxa" w:w="4252"/>
            <w:shd w:val="clear" w:color="auto" w:fill="F7FAFD"/>
          </w:tcPr>
          <w:p>
            <w:pPr>
              <w:jc w:val="center"/>
            </w:pPr>
            <w:r>
              <w:rPr>
                <w:sz w:val="19"/>
              </w:rPr>
              <w:t>06 — Alto Tietê</w:t>
            </w:r>
          </w:p>
        </w:tc>
        <w:tc>
          <w:tcPr>
            <w:tcW w:type="dxa" w:w="1701"/>
            <w:shd w:val="clear" w:color="auto" w:fill="F7FAFD"/>
          </w:tcPr>
          <w:p>
            <w:pPr>
              <w:jc w:val="center"/>
            </w:pPr>
            <w:r>
              <w:rPr>
                <w:sz w:val="19"/>
              </w:rPr>
              <w:t>10</w:t>
            </w:r>
          </w:p>
        </w:tc>
      </w:tr>
      <w:tr>
        <w:tc>
          <w:tcPr>
            <w:tcW w:type="dxa" w:w="1984"/>
            <w:shd w:val="clear" w:color="auto" w:fill="FFFFFF"/>
          </w:tcPr>
          <w:p>
            <w:pPr>
              <w:jc w:val="left"/>
            </w:pPr>
            <w:r>
              <w:rPr>
                <w:b/>
                <w:sz w:val="19"/>
              </w:rPr>
              <w:t>medio_tiete</w:t>
            </w:r>
          </w:p>
        </w:tc>
        <w:tc>
          <w:tcPr>
            <w:tcW w:type="dxa" w:w="4252"/>
            <w:shd w:val="clear" w:color="auto" w:fill="FFFFFF"/>
          </w:tcPr>
          <w:p>
            <w:pPr>
              <w:jc w:val="center"/>
            </w:pPr>
            <w:r>
              <w:rPr>
                <w:sz w:val="19"/>
              </w:rPr>
              <w:t>10 — Sorocaba/Médio Tietê</w:t>
              <w:br/>
              <w:t>13 — Tietê/Jacaré</w:t>
              <w:br/>
              <w:t>16 — Tietê/Batalha</w:t>
            </w:r>
          </w:p>
        </w:tc>
        <w:tc>
          <w:tcPr>
            <w:tcW w:type="dxa" w:w="1701"/>
            <w:shd w:val="clear" w:color="auto" w:fill="FFFFFF"/>
          </w:tcPr>
          <w:p>
            <w:pPr>
              <w:jc w:val="center"/>
            </w:pPr>
            <w:r>
              <w:rPr>
                <w:sz w:val="19"/>
              </w:rPr>
              <w:t>16 + 3 + 1 = 20</w:t>
            </w:r>
          </w:p>
        </w:tc>
      </w:tr>
      <w:tr>
        <w:tc>
          <w:tcPr>
            <w:tcW w:type="dxa" w:w="1984"/>
            <w:shd w:val="clear" w:color="auto" w:fill="F7FAFD"/>
          </w:tcPr>
          <w:p>
            <w:pPr>
              <w:jc w:val="left"/>
            </w:pPr>
            <w:r>
              <w:rPr>
                <w:b/>
                <w:sz w:val="19"/>
              </w:rPr>
              <w:t>baixo_tiete</w:t>
            </w:r>
          </w:p>
        </w:tc>
        <w:tc>
          <w:tcPr>
            <w:tcW w:type="dxa" w:w="4252"/>
            <w:shd w:val="clear" w:color="auto" w:fill="F7FAFD"/>
          </w:tcPr>
          <w:p>
            <w:pPr>
              <w:jc w:val="center"/>
            </w:pPr>
            <w:r>
              <w:rPr>
                <w:sz w:val="19"/>
              </w:rPr>
              <w:t>19 — Baixo Tietê</w:t>
            </w:r>
          </w:p>
        </w:tc>
        <w:tc>
          <w:tcPr>
            <w:tcW w:type="dxa" w:w="1701"/>
            <w:shd w:val="clear" w:color="auto" w:fill="F7FAFD"/>
          </w:tcPr>
          <w:p>
            <w:pPr>
              <w:jc w:val="center"/>
            </w:pPr>
            <w:r>
              <w:rPr>
                <w:sz w:val="19"/>
              </w:rPr>
              <w:t>2</w:t>
            </w:r>
          </w:p>
        </w:tc>
      </w:tr>
    </w:tbl>
    <w:p>
      <w:pPr>
        <w:spacing w:after="40"/>
      </w:pPr>
    </w:p>
    <w:p>
      <w:pPr>
        <w:spacing w:after="160"/>
        <w:jc w:val="both"/>
      </w:pPr>
      <w:r>
        <w:rPr>
          <w:i w:val="0"/>
          <w:sz w:val="22"/>
        </w:rPr>
        <w:t>Ou seja: "Médio Tietê", do jeito que o projeto usa hoje, mistura 3 bacias oficialmente distintas — cada uma com sua própria dinâmica de uso do solo, urbanização e carga poluidora — num único valor médio por ano. Alto e Baixo Tietê já são, cada um, um UGRHI único — não há fusão para desfazer neles.</w:t>
      </w:r>
    </w:p>
    <w:p>
      <w:pPr>
        <w:pStyle w:val="Heading1"/>
        <w:spacing w:before="440" w:after="200"/>
      </w:pPr>
      <w:r>
        <w:rPr>
          <w:b/>
          <w:color w:val="0F2E44"/>
          <w:sz w:val="36"/>
        </w:rPr>
        <w:t>2. A Granularidade Real Já Disponível</w:t>
      </w:r>
    </w:p>
    <w:p>
      <w:pPr>
        <w:spacing w:after="160"/>
        <w:jc w:val="both"/>
      </w:pPr>
      <w:r>
        <w:rPr>
          <w:i w:val="0"/>
          <w:sz w:val="22"/>
        </w:rPr>
        <w:t>32 estações reais de monitoramento cobrem o eixo do Tietê (cadastro CETESB, `bronze.estacoes`) — mas nem todas têm o mesmo histórico. Uma expansão real da rede aconteceu em 2024 (a CETESB ampliou de 11 para 30 pontos de monitoramento no Tietê, conforme comunicado oficial), então boa parte das 32 estações tem só 2 anos de dado (2023-2024).</w:t>
      </w:r>
    </w:p>
    <w:tbl>
      <w:tblPr>
        <w:tblW w:type="auto" w:w="0"/>
        <w:jc w:val="center"/>
        <w:tblLook w:firstColumn="1" w:firstRow="1" w:lastColumn="0" w:lastRow="0" w:noHBand="0" w:noVBand="1" w:val="04A0"/>
      </w:tblPr>
      <w:tblGrid>
        <w:gridCol w:w="2835"/>
        <w:gridCol w:w="3402"/>
        <w:gridCol w:w="1701"/>
      </w:tblGrid>
      <w:tr>
        <w:tc>
          <w:tcPr>
            <w:tcW w:type="dxa" w:w="3249"/>
            <w:shd w:val="clear" w:color="auto" w:fill="1F5FA8"/>
          </w:tcPr>
          <w:p>
            <w:pPr>
              <w:jc w:val="center"/>
            </w:pPr>
            <w:r>
              <w:rPr>
                <w:b/>
                <w:color w:val="FFFFFF"/>
                <w:sz w:val="20"/>
              </w:rPr>
              <w:t>Categoria de estação</w:t>
            </w:r>
          </w:p>
        </w:tc>
        <w:tc>
          <w:tcPr>
            <w:tcW w:type="dxa" w:w="3249"/>
            <w:shd w:val="clear" w:color="auto" w:fill="1F5FA8"/>
          </w:tcPr>
          <w:p>
            <w:pPr>
              <w:jc w:val="center"/>
            </w:pPr>
            <w:r>
              <w:rPr>
                <w:b/>
                <w:color w:val="FFFFFF"/>
                <w:sz w:val="20"/>
              </w:rPr>
              <w:t>Critério</w:t>
            </w:r>
          </w:p>
        </w:tc>
        <w:tc>
          <w:tcPr>
            <w:tcW w:type="dxa" w:w="3249"/>
            <w:shd w:val="clear" w:color="auto" w:fill="1F5FA8"/>
          </w:tcPr>
          <w:p>
            <w:pPr>
              <w:jc w:val="center"/>
            </w:pPr>
            <w:r>
              <w:rPr>
                <w:b/>
                <w:color w:val="FFFFFF"/>
                <w:sz w:val="20"/>
              </w:rPr>
              <w:t>Quantidade</w:t>
            </w:r>
          </w:p>
        </w:tc>
      </w:tr>
      <w:tr>
        <w:tc>
          <w:tcPr>
            <w:tcW w:type="dxa" w:w="2835"/>
            <w:shd w:val="clear" w:color="auto" w:fill="F7FAFD"/>
          </w:tcPr>
          <w:p>
            <w:pPr>
              <w:jc w:val="left"/>
            </w:pPr>
            <w:r>
              <w:rPr>
                <w:b/>
                <w:sz w:val="19"/>
              </w:rPr>
              <w:t>Histórico longo ("legado")</w:t>
            </w:r>
          </w:p>
        </w:tc>
        <w:tc>
          <w:tcPr>
            <w:tcW w:type="dxa" w:w="3402"/>
            <w:shd w:val="clear" w:color="auto" w:fill="F7FAFD"/>
          </w:tcPr>
          <w:p>
            <w:pPr>
              <w:jc w:val="center"/>
            </w:pPr>
            <w:r>
              <w:rPr>
                <w:sz w:val="19"/>
              </w:rPr>
              <w:t>≥ 20 anos de medições reais de OD</w:t>
            </w:r>
          </w:p>
        </w:tc>
        <w:tc>
          <w:tcPr>
            <w:tcW w:type="dxa" w:w="1701"/>
            <w:shd w:val="clear" w:color="auto" w:fill="F7FAFD"/>
          </w:tcPr>
          <w:p>
            <w:pPr>
              <w:jc w:val="center"/>
            </w:pPr>
            <w:r>
              <w:rPr>
                <w:sz w:val="19"/>
              </w:rPr>
              <w:t>16 estações</w:t>
            </w:r>
          </w:p>
        </w:tc>
      </w:tr>
      <w:tr>
        <w:tc>
          <w:tcPr>
            <w:tcW w:type="dxa" w:w="2835"/>
            <w:shd w:val="clear" w:color="auto" w:fill="FFFFFF"/>
          </w:tcPr>
          <w:p>
            <w:pPr>
              <w:jc w:val="left"/>
            </w:pPr>
            <w:r>
              <w:rPr>
                <w:b/>
                <w:sz w:val="19"/>
              </w:rPr>
              <w:t>Histórico curto ("nova")</w:t>
            </w:r>
          </w:p>
        </w:tc>
        <w:tc>
          <w:tcPr>
            <w:tcW w:type="dxa" w:w="3402"/>
            <w:shd w:val="clear" w:color="auto" w:fill="FFFFFF"/>
          </w:tcPr>
          <w:p>
            <w:pPr>
              <w:jc w:val="center"/>
            </w:pPr>
            <w:r>
              <w:rPr>
                <w:sz w:val="19"/>
              </w:rPr>
              <w:t>&lt; 20 anos — maioria com só 2 anos (2023-2024)</w:t>
            </w:r>
          </w:p>
        </w:tc>
        <w:tc>
          <w:tcPr>
            <w:tcW w:type="dxa" w:w="1701"/>
            <w:shd w:val="clear" w:color="auto" w:fill="FFFFFF"/>
          </w:tcPr>
          <w:p>
            <w:pPr>
              <w:jc w:val="center"/>
            </w:pPr>
            <w:r>
              <w:rPr>
                <w:sz w:val="19"/>
              </w:rPr>
              <w:t>16 estações</w:t>
            </w:r>
          </w:p>
        </w:tc>
      </w:tr>
    </w:tbl>
    <w:p>
      <w:pPr>
        <w:spacing w:after="40"/>
      </w:pPr>
    </w:p>
    <w:p>
      <w:pPr>
        <w:spacing w:after="160"/>
        <w:jc w:val="both"/>
      </w:pPr>
      <w:r>
        <w:rPr>
          <w:i w:val="0"/>
          <w:sz w:val="22"/>
        </w:rPr>
        <w:t>As 16 estações de histórico longo se distribuem: 8 no Alto Tietê, 7 no atual Médio Tietê (quase todas em Sorocaba/Médio Tietê — UGRHI 10), e só 1 no Baixo Tietê. As 16 recentes são, em sua maioria, os novos pontos da expansão de 2024 — valiosas para o futuro, mas ainda não utilizáveis para treinar modelo (2 anos não sustentam nenhuma métrica de série temporal).</w:t>
      </w:r>
    </w:p>
    <w:p>
      <w:pPr>
        <w:pStyle w:val="Heading2"/>
        <w:spacing w:before="280" w:after="120"/>
      </w:pPr>
      <w:r>
        <w:rPr>
          <w:b/>
          <w:color w:val="1F5FA8"/>
          <w:sz w:val="27"/>
        </w:rPr>
        <w:t>Achado real: quantas estações sustentam a média de cada trecho, ano a ano</w:t>
      </w:r>
    </w:p>
    <w:tbl>
      <w:tblPr>
        <w:tblW w:type="auto" w:w="0"/>
        <w:jc w:val="center"/>
        <w:tblLook w:firstColumn="1" w:firstRow="1" w:lastColumn="0" w:lastRow="0" w:noHBand="0" w:noVBand="1" w:val="04A0"/>
      </w:tblPr>
      <w:tblGrid>
        <w:gridCol w:w="1701"/>
        <w:gridCol w:w="2268"/>
        <w:gridCol w:w="1417"/>
        <w:gridCol w:w="1417"/>
        <w:gridCol w:w="1417"/>
      </w:tblGrid>
      <w:tr>
        <w:tc>
          <w:tcPr>
            <w:tcW w:type="dxa" w:w="1949"/>
            <w:shd w:val="clear" w:color="auto" w:fill="1F5FA8"/>
          </w:tcPr>
          <w:p>
            <w:pPr>
              <w:jc w:val="center"/>
            </w:pPr>
            <w:r>
              <w:rPr>
                <w:b/>
                <w:color w:val="FFFFFF"/>
                <w:sz w:val="20"/>
              </w:rPr>
              <w:t>Trecho (atual)</w:t>
            </w:r>
          </w:p>
        </w:tc>
        <w:tc>
          <w:tcPr>
            <w:tcW w:type="dxa" w:w="1949"/>
            <w:shd w:val="clear" w:color="auto" w:fill="1F5FA8"/>
          </w:tcPr>
          <w:p>
            <w:pPr>
              <w:jc w:val="center"/>
            </w:pPr>
            <w:r>
              <w:rPr>
                <w:b/>
                <w:color w:val="FFFFFF"/>
                <w:sz w:val="20"/>
              </w:rPr>
              <w:t>Estações/ano (média histórica)</w:t>
            </w:r>
          </w:p>
        </w:tc>
        <w:tc>
          <w:tcPr>
            <w:tcW w:type="dxa" w:w="1949"/>
            <w:shd w:val="clear" w:color="auto" w:fill="1F5FA8"/>
          </w:tcPr>
          <w:p>
            <w:pPr>
              <w:jc w:val="center"/>
            </w:pPr>
            <w:r>
              <w:rPr>
                <w:b/>
                <w:color w:val="FFFFFF"/>
                <w:sz w:val="20"/>
              </w:rPr>
              <w:t>1978-2000</w:t>
            </w:r>
          </w:p>
        </w:tc>
        <w:tc>
          <w:tcPr>
            <w:tcW w:type="dxa" w:w="1949"/>
            <w:shd w:val="clear" w:color="auto" w:fill="1F5FA8"/>
          </w:tcPr>
          <w:p>
            <w:pPr>
              <w:jc w:val="center"/>
            </w:pPr>
            <w:r>
              <w:rPr>
                <w:b/>
                <w:color w:val="FFFFFF"/>
                <w:sz w:val="20"/>
              </w:rPr>
              <w:t>2001-2020</w:t>
            </w:r>
          </w:p>
        </w:tc>
        <w:tc>
          <w:tcPr>
            <w:tcW w:type="dxa" w:w="1949"/>
            <w:shd w:val="clear" w:color="auto" w:fill="1F5FA8"/>
          </w:tcPr>
          <w:p>
            <w:pPr>
              <w:jc w:val="center"/>
            </w:pPr>
            <w:r>
              <w:rPr>
                <w:b/>
                <w:color w:val="FFFFFF"/>
                <w:sz w:val="20"/>
              </w:rPr>
              <w:t>2021-2024</w:t>
            </w:r>
          </w:p>
        </w:tc>
      </w:tr>
      <w:tr>
        <w:tc>
          <w:tcPr>
            <w:tcW w:type="dxa" w:w="1701"/>
            <w:shd w:val="clear" w:color="auto" w:fill="F7FAFD"/>
          </w:tcPr>
          <w:p>
            <w:pPr>
              <w:jc w:val="left"/>
            </w:pPr>
            <w:r>
              <w:rPr>
                <w:b/>
                <w:sz w:val="18"/>
              </w:rPr>
              <w:t>Alto Tietê</w:t>
            </w:r>
          </w:p>
        </w:tc>
        <w:tc>
          <w:tcPr>
            <w:tcW w:type="dxa" w:w="2268"/>
            <w:shd w:val="clear" w:color="auto" w:fill="F7FAFD"/>
          </w:tcPr>
          <w:p>
            <w:pPr>
              <w:jc w:val="center"/>
            </w:pPr>
            <w:r>
              <w:rPr>
                <w:sz w:val="18"/>
              </w:rPr>
              <w:t>6,21</w:t>
            </w:r>
          </w:p>
        </w:tc>
        <w:tc>
          <w:tcPr>
            <w:tcW w:type="dxa" w:w="1417"/>
            <w:shd w:val="clear" w:color="auto" w:fill="F7FAFD"/>
          </w:tcPr>
          <w:p>
            <w:pPr>
              <w:jc w:val="center"/>
            </w:pPr>
            <w:r>
              <w:rPr>
                <w:sz w:val="18"/>
              </w:rPr>
              <w:t>4,65</w:t>
            </w:r>
          </w:p>
        </w:tc>
        <w:tc>
          <w:tcPr>
            <w:tcW w:type="dxa" w:w="1417"/>
            <w:shd w:val="clear" w:color="auto" w:fill="F7FAFD"/>
          </w:tcPr>
          <w:p>
            <w:pPr>
              <w:jc w:val="center"/>
            </w:pPr>
            <w:r>
              <w:rPr>
                <w:sz w:val="18"/>
              </w:rPr>
              <w:t>7,45</w:t>
            </w:r>
          </w:p>
        </w:tc>
        <w:tc>
          <w:tcPr>
            <w:tcW w:type="dxa" w:w="1417"/>
            <w:shd w:val="clear" w:color="auto" w:fill="F7FAFD"/>
          </w:tcPr>
          <w:p>
            <w:pPr>
              <w:jc w:val="center"/>
            </w:pPr>
            <w:r>
              <w:rPr>
                <w:sz w:val="18"/>
              </w:rPr>
              <w:t>9,0</w:t>
            </w:r>
          </w:p>
        </w:tc>
      </w:tr>
      <w:tr>
        <w:tc>
          <w:tcPr>
            <w:tcW w:type="dxa" w:w="1701"/>
            <w:shd w:val="clear" w:color="auto" w:fill="FFFFFF"/>
          </w:tcPr>
          <w:p>
            <w:pPr>
              <w:jc w:val="left"/>
            </w:pPr>
            <w:r>
              <w:rPr>
                <w:b/>
                <w:sz w:val="18"/>
              </w:rPr>
              <w:t>Médio Tietê</w:t>
            </w:r>
          </w:p>
        </w:tc>
        <w:tc>
          <w:tcPr>
            <w:tcW w:type="dxa" w:w="2268"/>
            <w:shd w:val="clear" w:color="auto" w:fill="FFFFFF"/>
          </w:tcPr>
          <w:p>
            <w:pPr>
              <w:jc w:val="center"/>
            </w:pPr>
            <w:r>
              <w:rPr>
                <w:sz w:val="18"/>
              </w:rPr>
              <w:t>6,51</w:t>
            </w:r>
          </w:p>
        </w:tc>
        <w:tc>
          <w:tcPr>
            <w:tcW w:type="dxa" w:w="1417"/>
            <w:shd w:val="clear" w:color="auto" w:fill="FFFFFF"/>
          </w:tcPr>
          <w:p>
            <w:pPr>
              <w:jc w:val="center"/>
            </w:pPr>
            <w:r>
              <w:rPr>
                <w:sz w:val="18"/>
              </w:rPr>
              <w:t>6,0</w:t>
            </w:r>
          </w:p>
        </w:tc>
        <w:tc>
          <w:tcPr>
            <w:tcW w:type="dxa" w:w="1417"/>
            <w:shd w:val="clear" w:color="auto" w:fill="FFFFFF"/>
          </w:tcPr>
          <w:p>
            <w:pPr>
              <w:jc w:val="center"/>
            </w:pPr>
            <w:r>
              <w:rPr>
                <w:sz w:val="18"/>
              </w:rPr>
              <w:t>6,0</w:t>
            </w:r>
          </w:p>
        </w:tc>
        <w:tc>
          <w:tcPr>
            <w:tcW w:type="dxa" w:w="1417"/>
            <w:shd w:val="clear" w:color="auto" w:fill="FFFFFF"/>
          </w:tcPr>
          <w:p>
            <w:pPr>
              <w:jc w:val="center"/>
            </w:pPr>
            <w:r>
              <w:rPr>
                <w:sz w:val="18"/>
              </w:rPr>
              <w:t>12,0</w:t>
            </w:r>
          </w:p>
        </w:tc>
      </w:tr>
      <w:tr>
        <w:tc>
          <w:tcPr>
            <w:tcW w:type="dxa" w:w="1701"/>
            <w:shd w:val="clear" w:color="auto" w:fill="F7FAFD"/>
          </w:tcPr>
          <w:p>
            <w:pPr>
              <w:jc w:val="left"/>
            </w:pPr>
            <w:r>
              <w:rPr>
                <w:b/>
                <w:sz w:val="18"/>
              </w:rPr>
              <w:t>Baixo Tietê</w:t>
            </w:r>
          </w:p>
        </w:tc>
        <w:tc>
          <w:tcPr>
            <w:tcW w:type="dxa" w:w="2268"/>
            <w:shd w:val="clear" w:color="auto" w:fill="F7FAFD"/>
          </w:tcPr>
          <w:p>
            <w:pPr>
              <w:jc w:val="center"/>
            </w:pPr>
            <w:r>
              <w:rPr>
                <w:sz w:val="18"/>
              </w:rPr>
              <w:t>1,23</w:t>
            </w:r>
          </w:p>
        </w:tc>
        <w:tc>
          <w:tcPr>
            <w:tcW w:type="dxa" w:w="1417"/>
            <w:shd w:val="clear" w:color="auto" w:fill="F7FAFD"/>
          </w:tcPr>
          <w:p>
            <w:pPr>
              <w:jc w:val="center"/>
            </w:pPr>
            <w:r>
              <w:rPr>
                <w:sz w:val="18"/>
              </w:rPr>
              <w:t>1,0</w:t>
            </w:r>
          </w:p>
        </w:tc>
        <w:tc>
          <w:tcPr>
            <w:tcW w:type="dxa" w:w="1417"/>
            <w:shd w:val="clear" w:color="auto" w:fill="F7FAFD"/>
          </w:tcPr>
          <w:p>
            <w:pPr>
              <w:jc w:val="center"/>
            </w:pPr>
            <w:r>
              <w:rPr>
                <w:sz w:val="18"/>
              </w:rPr>
              <w:t>1,35</w:t>
            </w:r>
          </w:p>
        </w:tc>
        <w:tc>
          <w:tcPr>
            <w:tcW w:type="dxa" w:w="1417"/>
            <w:shd w:val="clear" w:color="auto" w:fill="F7FAFD"/>
          </w:tcPr>
          <w:p>
            <w:pPr>
              <w:jc w:val="center"/>
            </w:pPr>
            <w:r>
              <w:rPr>
                <w:sz w:val="18"/>
              </w:rPr>
              <w:t>2,0</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BECEC"/>
          </w:tcPr>
          <w:p>
            <w:pPr>
              <w:spacing w:after="80"/>
            </w:pPr>
            <w:r>
              <w:rPr>
                <w:b/>
                <w:color w:val="C0392B"/>
                <w:sz w:val="22"/>
              </w:rPr>
              <w:t>Achado real sobre o Baixo Tietê:</w:t>
            </w:r>
          </w:p>
          <w:p>
            <w:pPr>
              <w:jc w:val="both"/>
            </w:pPr>
            <w:r>
              <w:rPr>
                <w:sz w:val="21"/>
              </w:rPr>
              <w:t>Em 36 dos 47 anos de histórico (77% dos anos), a média anual do "trecho" Baixo Tietê vem de UMA ÚNICA estação (TIET02700, em Promissão). Baixo Tietê não é, na prática, uma média espacial — é a série de uma estação só, com o rótulo de "trecho" emprestado. Isso não é um problema de granularidade a mais: é um problema de cobertura espacial real insuficiente, que nenhuma divisão resolve sem novos pontos de coleta.</w:t>
            </w:r>
          </w:p>
        </w:tc>
      </w:tr>
    </w:tbl>
    <w:p/>
    <w:tbl>
      <w:tblPr>
        <w:tblW w:type="auto" w:w="0"/>
        <w:jc w:val="center"/>
        <w:tblLook w:firstColumn="1" w:firstRow="1" w:lastColumn="0" w:lastRow="0" w:noHBand="0" w:noVBand="1" w:val="04A0"/>
      </w:tblPr>
      <w:tblGrid>
        <w:gridCol w:w="9746"/>
      </w:tblGrid>
      <w:tr>
        <w:tc>
          <w:tcPr>
            <w:tcW w:type="dxa" w:w="9746"/>
            <w:shd w:val="clear" w:color="auto" w:fill="FDF6E0"/>
          </w:tcPr>
          <w:p>
            <w:pPr>
              <w:spacing w:after="80"/>
            </w:pPr>
            <w:r>
              <w:rPr>
                <w:b/>
                <w:color w:val="C9A227"/>
                <w:sz w:val="22"/>
              </w:rPr>
              <w:t>Achado real sobre o Alto Tietê:</w:t>
            </w:r>
          </w:p>
          <w:p>
            <w:pPr>
              <w:jc w:val="both"/>
            </w:pPr>
            <w:r>
              <w:rPr>
                <w:sz w:val="21"/>
              </w:rPr>
              <w:t>6,2 estações/ano em média sustentam a média do Alto Tietê — mas essas estações vão de Biritiba Mirim (Classe 2, cabeceira, pouco urbanizada) até o centro de São Paulo/Guarulhos (Classe 4, o pior enquadramento legal). A média anual do trecho mistura, todo ano, água de nascente com água do trecho mais urbanizado do rio inteiro — uma hipótese direta para por que o Alto Tietê é o trecho mais instável nos modelos de ML (ver Análise Técnica do Random Forest, Seção 2.2 e 3.1): parte da "instabilidade" pode ser heterogeneidade espacial real sendo forçada a caber numa média única, não ruído do modelo.</w:t>
            </w:r>
          </w:p>
        </w:tc>
      </w:tr>
    </w:tbl>
    <w:p/>
    <w:p>
      <w:pPr>
        <w:pStyle w:val="Heading1"/>
        <w:spacing w:before="440" w:after="200"/>
      </w:pPr>
      <w:r>
        <w:rPr>
          <w:b/>
          <w:color w:val="0F2E44"/>
          <w:sz w:val="36"/>
        </w:rPr>
        <w:t>3. Opção A — Manter os 3 Trechos Atuais (Status Quo)</w:t>
      </w:r>
    </w:p>
    <w:p>
      <w:pPr>
        <w:pStyle w:val="ListBullet"/>
        <w:spacing w:after="80"/>
      </w:pPr>
      <w:r>
        <w:rPr>
          <w:b/>
        </w:rPr>
        <w:t xml:space="preserve">A favor: </w:t>
      </w:r>
      <w:r>
        <w:rPr>
          <w:sz w:val="22"/>
        </w:rPr>
        <w:t>Cada trecho já tem massa crítica de anos reais (44-45 anos observados) para treinar modelo — dividir mais arrisca cair abaixo do mínimo prático.</w:t>
      </w:r>
    </w:p>
    <w:p>
      <w:pPr>
        <w:pStyle w:val="ListBullet"/>
        <w:spacing w:after="80"/>
      </w:pPr>
      <w:r>
        <w:rPr>
          <w:b/>
        </w:rPr>
        <w:t xml:space="preserve">A favor: </w:t>
      </w:r>
      <w:r>
        <w:rPr>
          <w:sz w:val="22"/>
        </w:rPr>
        <w:t>Compatibilidade total com todo o código já escrito (ABM, biofísico, ML, dashboard) — trecho_id é chave em dezenas de módulos.</w:t>
      </w:r>
    </w:p>
    <w:p>
      <w:pPr>
        <w:pStyle w:val="ListBullet"/>
        <w:spacing w:after="80"/>
      </w:pPr>
      <w:r>
        <w:rPr>
          <w:b/>
        </w:rPr>
        <w:t xml:space="preserve">A favor: </w:t>
      </w:r>
      <w:r>
        <w:rPr>
          <w:sz w:val="22"/>
        </w:rPr>
        <w:t>Simplicidade de comunicação — 3 trechos é intuitivo para qualquer leitor do relatório.</w:t>
      </w:r>
    </w:p>
    <w:p>
      <w:pPr>
        <w:pStyle w:val="ListBullet"/>
        <w:spacing w:after="80"/>
      </w:pPr>
      <w:r>
        <w:rPr>
          <w:b/>
        </w:rPr>
        <w:t xml:space="preserve">Contra: </w:t>
      </w:r>
      <w:r>
        <w:rPr>
          <w:sz w:val="22"/>
        </w:rPr>
        <w:t>"Médio Tietê" continua sendo uma média de 3 bacias hidrologicamente distintas — a heterogeneidade espacial real fica escondida dentro de um único número.</w:t>
      </w:r>
    </w:p>
    <w:p>
      <w:pPr>
        <w:pStyle w:val="ListBullet"/>
        <w:spacing w:after="80"/>
      </w:pPr>
      <w:r>
        <w:rPr>
          <w:b/>
        </w:rPr>
        <w:t xml:space="preserve">Contra: </w:t>
      </w:r>
      <w:r>
        <w:rPr>
          <w:sz w:val="22"/>
        </w:rPr>
        <w:t>Não resolve (nem piora) o problema do Baixo Tietê já ser, na prática, uma estação só.</w:t>
      </w:r>
    </w:p>
    <w:p>
      <w:pPr>
        <w:pStyle w:val="Heading1"/>
        <w:spacing w:before="440" w:after="200"/>
      </w:pPr>
      <w:r>
        <w:rPr>
          <w:b/>
          <w:color w:val="0F2E44"/>
          <w:sz w:val="36"/>
        </w:rPr>
        <w:t>4. Opção B — Dividir em 5 Trechos (UGRHI Oficial)</w:t>
      </w:r>
    </w:p>
    <w:p>
      <w:pPr>
        <w:spacing w:after="160"/>
        <w:jc w:val="both"/>
      </w:pPr>
      <w:r>
        <w:rPr>
          <w:i w:val="0"/>
          <w:sz w:val="22"/>
        </w:rPr>
        <w:t>Desfazer a fusão do "medio_tiete" e usar os 5 UGRHIs oficiais como 5 trechos independentes — sem precisar de nenhum dado novo, só reclassificar `_ugrhi_para_trecho`.</w:t>
      </w:r>
    </w:p>
    <w:p>
      <w:pPr>
        <w:pStyle w:val="Heading2"/>
        <w:spacing w:before="280" w:after="120"/>
      </w:pPr>
      <w:r>
        <w:rPr>
          <w:b/>
          <w:color w:val="1F5FA8"/>
          <w:sz w:val="27"/>
        </w:rPr>
        <w:t>Achado real: dividir não reduz os anos disponíveis, só a redundância por ano</w:t>
      </w:r>
    </w:p>
    <w:p>
      <w:pPr>
        <w:spacing w:after="160"/>
        <w:jc w:val="both"/>
      </w:pPr>
      <w:r>
        <w:rPr>
          <w:i w:val="0"/>
          <w:sz w:val="22"/>
        </w:rPr>
        <w:t>Medi a cobertura real de cada segmento proposto. O resultado é contraintuitivo: TODOS os 5 segmentos têm dado em 47 dos 47 anos (1978-2024) — inclusive os mais finos. A razão: o gargalo da série anual nunca foi o NÚMERO DE ESTAÇÕES, foi a COBERTURA TEMPORAL (se algum ponto do segmento tem medição naquele ano) — e isso já está garantido em todos os 5. Dividir é quase "de graça" em quantidade de linhas para o ML anual.</w:t>
      </w:r>
    </w:p>
    <w:tbl>
      <w:tblPr>
        <w:tblW w:type="auto" w:w="0"/>
        <w:jc w:val="center"/>
        <w:tblLook w:firstColumn="1" w:firstRow="1" w:lastColumn="0" w:lastRow="0" w:noHBand="0" w:noVBand="1" w:val="04A0"/>
      </w:tblPr>
      <w:tblGrid>
        <w:gridCol w:w="2438"/>
        <w:gridCol w:w="1134"/>
        <w:gridCol w:w="1587"/>
        <w:gridCol w:w="1417"/>
        <w:gridCol w:w="1644"/>
      </w:tblGrid>
      <w:tr>
        <w:tc>
          <w:tcPr>
            <w:tcW w:type="dxa" w:w="1949"/>
            <w:shd w:val="clear" w:color="auto" w:fill="1F5FA8"/>
          </w:tcPr>
          <w:p>
            <w:pPr>
              <w:jc w:val="center"/>
            </w:pPr>
            <w:r>
              <w:rPr>
                <w:b/>
                <w:color w:val="FFFFFF"/>
                <w:sz w:val="20"/>
              </w:rPr>
              <w:t>Segmento proposto (UGRHI)</w:t>
            </w:r>
          </w:p>
        </w:tc>
        <w:tc>
          <w:tcPr>
            <w:tcW w:type="dxa" w:w="1949"/>
            <w:shd w:val="clear" w:color="auto" w:fill="1F5FA8"/>
          </w:tcPr>
          <w:p>
            <w:pPr>
              <w:jc w:val="center"/>
            </w:pPr>
            <w:r>
              <w:rPr>
                <w:b/>
                <w:color w:val="FFFFFF"/>
                <w:sz w:val="20"/>
              </w:rPr>
              <w:t>Estações</w:t>
            </w:r>
          </w:p>
        </w:tc>
        <w:tc>
          <w:tcPr>
            <w:tcW w:type="dxa" w:w="1949"/>
            <w:shd w:val="clear" w:color="auto" w:fill="1F5FA8"/>
          </w:tcPr>
          <w:p>
            <w:pPr>
              <w:jc w:val="center"/>
            </w:pPr>
            <w:r>
              <w:rPr>
                <w:b/>
                <w:color w:val="FFFFFF"/>
                <w:sz w:val="20"/>
              </w:rPr>
              <w:t>Anos com dado (1978-2024)</w:t>
            </w:r>
          </w:p>
        </w:tc>
        <w:tc>
          <w:tcPr>
            <w:tcW w:type="dxa" w:w="1949"/>
            <w:shd w:val="clear" w:color="auto" w:fill="1F5FA8"/>
          </w:tcPr>
          <w:p>
            <w:pPr>
              <w:jc w:val="center"/>
            </w:pPr>
            <w:r>
              <w:rPr>
                <w:b/>
                <w:color w:val="FFFFFF"/>
                <w:sz w:val="20"/>
              </w:rPr>
              <w:t>Medições totais</w:t>
            </w:r>
          </w:p>
        </w:tc>
        <w:tc>
          <w:tcPr>
            <w:tcW w:type="dxa" w:w="1949"/>
            <w:shd w:val="clear" w:color="auto" w:fill="1F5FA8"/>
          </w:tcPr>
          <w:p>
            <w:pPr>
              <w:jc w:val="center"/>
            </w:pPr>
            <w:r>
              <w:rPr>
                <w:b/>
                <w:color w:val="FFFFFF"/>
                <w:sz w:val="20"/>
              </w:rPr>
              <w:t>Medições/ano (redundância)</w:t>
            </w:r>
          </w:p>
        </w:tc>
      </w:tr>
      <w:tr>
        <w:tc>
          <w:tcPr>
            <w:tcW w:type="dxa" w:w="2438"/>
            <w:shd w:val="clear" w:color="auto" w:fill="F7FAFD"/>
          </w:tcPr>
          <w:p>
            <w:pPr>
              <w:jc w:val="left"/>
            </w:pPr>
            <w:r>
              <w:rPr>
                <w:b/>
                <w:sz w:val="18"/>
              </w:rPr>
              <w:t>Alto Tietê (06)</w:t>
            </w:r>
          </w:p>
        </w:tc>
        <w:tc>
          <w:tcPr>
            <w:tcW w:type="dxa" w:w="1134"/>
            <w:shd w:val="clear" w:color="auto" w:fill="F7FAFD"/>
          </w:tcPr>
          <w:p>
            <w:pPr>
              <w:jc w:val="center"/>
            </w:pPr>
            <w:r>
              <w:rPr>
                <w:sz w:val="18"/>
              </w:rPr>
              <w:t>10</w:t>
            </w:r>
          </w:p>
        </w:tc>
        <w:tc>
          <w:tcPr>
            <w:tcW w:type="dxa" w:w="1587"/>
            <w:shd w:val="clear" w:color="auto" w:fill="F7FAFD"/>
          </w:tcPr>
          <w:p>
            <w:pPr>
              <w:jc w:val="center"/>
            </w:pPr>
            <w:r>
              <w:rPr>
                <w:sz w:val="18"/>
              </w:rPr>
              <w:t>47 de 47</w:t>
            </w:r>
          </w:p>
        </w:tc>
        <w:tc>
          <w:tcPr>
            <w:tcW w:type="dxa" w:w="1417"/>
            <w:shd w:val="clear" w:color="auto" w:fill="F7FAFD"/>
          </w:tcPr>
          <w:p>
            <w:pPr>
              <w:jc w:val="center"/>
            </w:pPr>
            <w:r>
              <w:rPr>
                <w:sz w:val="18"/>
              </w:rPr>
              <w:t>1.658</w:t>
            </w:r>
          </w:p>
        </w:tc>
        <w:tc>
          <w:tcPr>
            <w:tcW w:type="dxa" w:w="1644"/>
            <w:shd w:val="clear" w:color="auto" w:fill="F7FAFD"/>
          </w:tcPr>
          <w:p>
            <w:pPr>
              <w:jc w:val="center"/>
            </w:pPr>
            <w:r>
              <w:rPr>
                <w:sz w:val="18"/>
              </w:rPr>
              <w:t>≈ 35,3</w:t>
            </w:r>
          </w:p>
        </w:tc>
      </w:tr>
      <w:tr>
        <w:tc>
          <w:tcPr>
            <w:tcW w:type="dxa" w:w="2438"/>
            <w:shd w:val="clear" w:color="auto" w:fill="FFFFFF"/>
          </w:tcPr>
          <w:p>
            <w:pPr>
              <w:jc w:val="left"/>
            </w:pPr>
            <w:r>
              <w:rPr>
                <w:b/>
                <w:sz w:val="18"/>
              </w:rPr>
              <w:t>Sorocaba/Médio Tietê (10)</w:t>
            </w:r>
          </w:p>
        </w:tc>
        <w:tc>
          <w:tcPr>
            <w:tcW w:type="dxa" w:w="1134"/>
            <w:shd w:val="clear" w:color="auto" w:fill="FFFFFF"/>
          </w:tcPr>
          <w:p>
            <w:pPr>
              <w:jc w:val="center"/>
            </w:pPr>
            <w:r>
              <w:rPr>
                <w:sz w:val="18"/>
              </w:rPr>
              <w:t>16</w:t>
            </w:r>
          </w:p>
        </w:tc>
        <w:tc>
          <w:tcPr>
            <w:tcW w:type="dxa" w:w="1587"/>
            <w:shd w:val="clear" w:color="auto" w:fill="FFFFFF"/>
          </w:tcPr>
          <w:p>
            <w:pPr>
              <w:jc w:val="center"/>
            </w:pPr>
            <w:r>
              <w:rPr>
                <w:sz w:val="18"/>
              </w:rPr>
              <w:t>47 de 47</w:t>
            </w:r>
          </w:p>
        </w:tc>
        <w:tc>
          <w:tcPr>
            <w:tcW w:type="dxa" w:w="1417"/>
            <w:shd w:val="clear" w:color="auto" w:fill="FFFFFF"/>
          </w:tcPr>
          <w:p>
            <w:pPr>
              <w:jc w:val="center"/>
            </w:pPr>
            <w:r>
              <w:rPr>
                <w:sz w:val="18"/>
              </w:rPr>
              <w:t>1.179</w:t>
            </w:r>
          </w:p>
        </w:tc>
        <w:tc>
          <w:tcPr>
            <w:tcW w:type="dxa" w:w="1644"/>
            <w:shd w:val="clear" w:color="auto" w:fill="FFFFFF"/>
          </w:tcPr>
          <w:p>
            <w:pPr>
              <w:jc w:val="center"/>
            </w:pPr>
            <w:r>
              <w:rPr>
                <w:sz w:val="18"/>
              </w:rPr>
              <w:t>≈ 25,1</w:t>
            </w:r>
          </w:p>
        </w:tc>
      </w:tr>
      <w:tr>
        <w:tc>
          <w:tcPr>
            <w:tcW w:type="dxa" w:w="2438"/>
            <w:shd w:val="clear" w:color="auto" w:fill="F7FAFD"/>
          </w:tcPr>
          <w:p>
            <w:pPr>
              <w:jc w:val="left"/>
            </w:pPr>
            <w:r>
              <w:rPr>
                <w:b/>
                <w:sz w:val="18"/>
              </w:rPr>
              <w:t>Tietê/Jacaré (13)</w:t>
            </w:r>
          </w:p>
        </w:tc>
        <w:tc>
          <w:tcPr>
            <w:tcW w:type="dxa" w:w="1134"/>
            <w:shd w:val="clear" w:color="auto" w:fill="F7FAFD"/>
          </w:tcPr>
          <w:p>
            <w:pPr>
              <w:jc w:val="center"/>
            </w:pPr>
            <w:r>
              <w:rPr>
                <w:sz w:val="18"/>
              </w:rPr>
              <w:t>3</w:t>
            </w:r>
          </w:p>
        </w:tc>
        <w:tc>
          <w:tcPr>
            <w:tcW w:type="dxa" w:w="1587"/>
            <w:shd w:val="clear" w:color="auto" w:fill="F7FAFD"/>
          </w:tcPr>
          <w:p>
            <w:pPr>
              <w:jc w:val="center"/>
            </w:pPr>
            <w:r>
              <w:rPr>
                <w:sz w:val="18"/>
              </w:rPr>
              <w:t>47 de 47</w:t>
            </w:r>
          </w:p>
        </w:tc>
        <w:tc>
          <w:tcPr>
            <w:tcW w:type="dxa" w:w="1417"/>
            <w:shd w:val="clear" w:color="auto" w:fill="F7FAFD"/>
          </w:tcPr>
          <w:p>
            <w:pPr>
              <w:jc w:val="center"/>
            </w:pPr>
            <w:r>
              <w:rPr>
                <w:sz w:val="18"/>
              </w:rPr>
              <w:t>485</w:t>
            </w:r>
          </w:p>
        </w:tc>
        <w:tc>
          <w:tcPr>
            <w:tcW w:type="dxa" w:w="1644"/>
            <w:shd w:val="clear" w:color="auto" w:fill="F7FAFD"/>
          </w:tcPr>
          <w:p>
            <w:pPr>
              <w:jc w:val="center"/>
            </w:pPr>
            <w:r>
              <w:rPr>
                <w:sz w:val="18"/>
              </w:rPr>
              <w:t>≈ 10,3</w:t>
            </w:r>
          </w:p>
        </w:tc>
      </w:tr>
      <w:tr>
        <w:tc>
          <w:tcPr>
            <w:tcW w:type="dxa" w:w="2438"/>
            <w:shd w:val="clear" w:color="auto" w:fill="FFFFFF"/>
          </w:tcPr>
          <w:p>
            <w:pPr>
              <w:jc w:val="left"/>
            </w:pPr>
            <w:r>
              <w:rPr>
                <w:b/>
                <w:sz w:val="18"/>
              </w:rPr>
              <w:t>Baixo Tietê (19)</w:t>
            </w:r>
          </w:p>
        </w:tc>
        <w:tc>
          <w:tcPr>
            <w:tcW w:type="dxa" w:w="1134"/>
            <w:shd w:val="clear" w:color="auto" w:fill="FFFFFF"/>
          </w:tcPr>
          <w:p>
            <w:pPr>
              <w:jc w:val="center"/>
            </w:pPr>
            <w:r>
              <w:rPr>
                <w:sz w:val="18"/>
              </w:rPr>
              <w:t>2</w:t>
            </w:r>
          </w:p>
        </w:tc>
        <w:tc>
          <w:tcPr>
            <w:tcW w:type="dxa" w:w="1587"/>
            <w:shd w:val="clear" w:color="auto" w:fill="FFFFFF"/>
          </w:tcPr>
          <w:p>
            <w:pPr>
              <w:jc w:val="center"/>
            </w:pPr>
            <w:r>
              <w:rPr>
                <w:sz w:val="18"/>
              </w:rPr>
              <w:t>47 de 47</w:t>
            </w:r>
          </w:p>
        </w:tc>
        <w:tc>
          <w:tcPr>
            <w:tcW w:type="dxa" w:w="1417"/>
            <w:shd w:val="clear" w:color="auto" w:fill="FFFFFF"/>
          </w:tcPr>
          <w:p>
            <w:pPr>
              <w:jc w:val="center"/>
            </w:pPr>
            <w:r>
              <w:rPr>
                <w:sz w:val="18"/>
              </w:rPr>
              <w:t>364</w:t>
            </w:r>
          </w:p>
        </w:tc>
        <w:tc>
          <w:tcPr>
            <w:tcW w:type="dxa" w:w="1644"/>
            <w:shd w:val="clear" w:color="auto" w:fill="FFFFFF"/>
          </w:tcPr>
          <w:p>
            <w:pPr>
              <w:jc w:val="center"/>
            </w:pPr>
            <w:r>
              <w:rPr>
                <w:sz w:val="18"/>
              </w:rPr>
              <w:t>≈ 7,7</w:t>
            </w:r>
          </w:p>
        </w:tc>
      </w:tr>
      <w:tr>
        <w:tc>
          <w:tcPr>
            <w:tcW w:type="dxa" w:w="2438"/>
            <w:shd w:val="clear" w:color="auto" w:fill="F7FAFD"/>
          </w:tcPr>
          <w:p>
            <w:pPr>
              <w:jc w:val="left"/>
            </w:pPr>
            <w:r>
              <w:rPr>
                <w:b/>
                <w:sz w:val="18"/>
              </w:rPr>
              <w:t>Tietê/Batalha (16)</w:t>
            </w:r>
          </w:p>
        </w:tc>
        <w:tc>
          <w:tcPr>
            <w:tcW w:type="dxa" w:w="1134"/>
            <w:shd w:val="clear" w:color="auto" w:fill="F7FAFD"/>
          </w:tcPr>
          <w:p>
            <w:pPr>
              <w:jc w:val="center"/>
            </w:pPr>
            <w:r>
              <w:rPr>
                <w:sz w:val="18"/>
              </w:rPr>
              <w:t>1</w:t>
            </w:r>
          </w:p>
        </w:tc>
        <w:tc>
          <w:tcPr>
            <w:tcW w:type="dxa" w:w="1587"/>
            <w:shd w:val="clear" w:color="auto" w:fill="F7FAFD"/>
          </w:tcPr>
          <w:p>
            <w:pPr>
              <w:jc w:val="center"/>
            </w:pPr>
            <w:r>
              <w:rPr>
                <w:sz w:val="18"/>
              </w:rPr>
              <w:t>47 de 47</w:t>
            </w:r>
          </w:p>
        </w:tc>
        <w:tc>
          <w:tcPr>
            <w:tcW w:type="dxa" w:w="1417"/>
            <w:shd w:val="clear" w:color="auto" w:fill="F7FAFD"/>
          </w:tcPr>
          <w:p>
            <w:pPr>
              <w:jc w:val="center"/>
            </w:pPr>
            <w:r>
              <w:rPr>
                <w:sz w:val="18"/>
              </w:rPr>
              <w:t>313</w:t>
            </w:r>
          </w:p>
        </w:tc>
        <w:tc>
          <w:tcPr>
            <w:tcW w:type="dxa" w:w="1644"/>
            <w:shd w:val="clear" w:color="auto" w:fill="F7FAFD"/>
          </w:tcPr>
          <w:p>
            <w:pPr>
              <w:jc w:val="center"/>
            </w:pPr>
            <w:r>
              <w:rPr>
                <w:sz w:val="18"/>
              </w:rPr>
              <w:t>≈ 6,7</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E4F3E8"/>
          </w:tcPr>
          <w:p>
            <w:pPr>
              <w:spacing w:after="80"/>
            </w:pPr>
            <w:r>
              <w:rPr>
                <w:b/>
                <w:color w:val="2F9E4F"/>
                <w:sz w:val="22"/>
              </w:rPr>
              <w:t>O custo real não é linhas — é redundância por ano:</w:t>
            </w:r>
          </w:p>
          <w:p>
            <w:pPr>
              <w:jc w:val="both"/>
            </w:pPr>
            <w:r>
              <w:rPr>
                <w:sz w:val="21"/>
              </w:rPr>
              <w:t>Onde a divisão realmente custa é na ESTABILIDADE da média de cada ano: Alto Tietê tira sua média anual de ~35 medições, Tietê/Batalha de ~7. Uma média de 7 medições é muito mais sensível a um valor atípico do que uma de 35 — o trade-off real de dividir não é "menos anos de treino", é "médias anuais mais ruidosas" nos segmentos mais finos.</w:t>
            </w:r>
          </w:p>
        </w:tc>
      </w:tr>
    </w:tbl>
    <w:p/>
    <w:p>
      <w:pPr>
        <w:pStyle w:val="ListBullet"/>
        <w:spacing w:after="80"/>
      </w:pPr>
      <w:r>
        <w:rPr>
          <w:b/>
        </w:rPr>
        <w:t xml:space="preserve">A favor: </w:t>
      </w:r>
      <w:r>
        <w:rPr>
          <w:sz w:val="22"/>
        </w:rPr>
        <w:t>Alto Tietê e Sorocaba/Médio Tietê (os 2 segmentos maiores, 10 e 16 estações) ficam mais homogêneos e continuam com boa redundância por ano.</w:t>
      </w:r>
    </w:p>
    <w:p>
      <w:pPr>
        <w:pStyle w:val="ListBullet"/>
        <w:spacing w:after="80"/>
      </w:pPr>
      <w:r>
        <w:rPr>
          <w:b/>
        </w:rPr>
        <w:t xml:space="preserve">A favor: </w:t>
      </w:r>
      <w:r>
        <w:rPr>
          <w:sz w:val="22"/>
        </w:rPr>
        <w:t>Resolve o problema documentado do Alto Tietê misturar cabeceira (Classe 2) com área urbana densa (Classe 4) numa única média.</w:t>
      </w:r>
    </w:p>
    <w:p>
      <w:pPr>
        <w:pStyle w:val="ListBullet"/>
        <w:spacing w:after="80"/>
      </w:pPr>
      <w:r>
        <w:rPr>
          <w:b/>
        </w:rPr>
        <w:t xml:space="preserve">A favor: </w:t>
      </w:r>
      <w:r>
        <w:rPr>
          <w:sz w:val="22"/>
        </w:rPr>
        <w:t>Usa uma classificação já oficial (UGRHI) — não é um recorte arbitrário do projeto, tem validação institucional.</w:t>
      </w:r>
    </w:p>
    <w:p>
      <w:pPr>
        <w:pStyle w:val="ListBullet"/>
        <w:spacing w:after="80"/>
      </w:pPr>
      <w:r>
        <w:rPr>
          <w:b/>
        </w:rPr>
        <w:t xml:space="preserve">Contra: </w:t>
      </w:r>
      <w:r>
        <w:rPr>
          <w:sz w:val="22"/>
        </w:rPr>
        <w:t>Tietê/Batalha (1 estação, ~6,7 medições/ano) e Tietê/Jacaré (3 estações, ~10,3/ano) ficam finos demais para um RandomForest próprio — o problema de amostra pequena já documentado (Análise RF, Seção 7) pioraria exatamente nesses 2 segmentos.</w:t>
      </w:r>
    </w:p>
    <w:p>
      <w:pPr>
        <w:pStyle w:val="ListBullet"/>
        <w:spacing w:after="80"/>
      </w:pPr>
      <w:r>
        <w:rPr>
          <w:b/>
        </w:rPr>
        <w:t xml:space="preserve">Contra: </w:t>
      </w:r>
      <w:r>
        <w:rPr>
          <w:sz w:val="22"/>
        </w:rPr>
        <w:t>Baixo Tietê continua igual (só 2 estações) — dividir os outros trechos não ajuda o Baixo.</w:t>
      </w:r>
    </w:p>
    <w:p>
      <w:pPr>
        <w:pStyle w:val="ListBullet"/>
        <w:spacing w:after="80"/>
      </w:pPr>
      <w:r>
        <w:rPr>
          <w:b/>
        </w:rPr>
        <w:t xml:space="preserve">Contra: </w:t>
      </w:r>
      <w:r>
        <w:rPr>
          <w:sz w:val="22"/>
        </w:rPr>
        <w:t>Retrabalho real: ABM, biofísico e dashboard assumem 3 trechos em vários pontos do código — passar para 5 exige revisão ampla, não só trocar a função de classificação.</w:t>
      </w:r>
    </w:p>
    <w:p>
      <w:pPr>
        <w:pStyle w:val="Heading1"/>
        <w:spacing w:before="440" w:after="200"/>
      </w:pPr>
      <w:r>
        <w:rPr>
          <w:b/>
          <w:color w:val="0F2E44"/>
          <w:sz w:val="36"/>
        </w:rPr>
        <w:t>5. Opção C — Recomendação Híbrida</w:t>
      </w:r>
    </w:p>
    <w:p>
      <w:pPr>
        <w:spacing w:after="160"/>
        <w:jc w:val="both"/>
      </w:pPr>
      <w:r>
        <w:rPr>
          <w:i w:val="0"/>
          <w:sz w:val="22"/>
        </w:rPr>
        <w:t>Nem o status quo puro, nem a divisão total em 5 — uma divisão em 4 trechos que separa só o que tem massa crítica para ficar sozinho, e funde o que ainda é fino demais:</w:t>
      </w:r>
    </w:p>
    <w:tbl>
      <w:tblPr>
        <w:tblW w:type="auto" w:w="0"/>
        <w:jc w:val="center"/>
        <w:tblLook w:firstColumn="1" w:firstRow="1" w:lastColumn="0" w:lastRow="0" w:noHBand="0" w:noVBand="1" w:val="04A0"/>
      </w:tblPr>
      <w:tblGrid>
        <w:gridCol w:w="2835"/>
        <w:gridCol w:w="1417"/>
        <w:gridCol w:w="1134"/>
        <w:gridCol w:w="1417"/>
      </w:tblGrid>
      <w:tr>
        <w:tc>
          <w:tcPr>
            <w:tcW w:type="dxa" w:w="2436"/>
            <w:shd w:val="clear" w:color="auto" w:fill="1F5FA8"/>
          </w:tcPr>
          <w:p>
            <w:pPr>
              <w:jc w:val="center"/>
            </w:pPr>
            <w:r>
              <w:rPr>
                <w:b/>
                <w:color w:val="FFFFFF"/>
                <w:sz w:val="20"/>
              </w:rPr>
              <w:t>Novo trecho proposto</w:t>
            </w:r>
          </w:p>
        </w:tc>
        <w:tc>
          <w:tcPr>
            <w:tcW w:type="dxa" w:w="2436"/>
            <w:shd w:val="clear" w:color="auto" w:fill="1F5FA8"/>
          </w:tcPr>
          <w:p>
            <w:pPr>
              <w:jc w:val="center"/>
            </w:pPr>
            <w:r>
              <w:rPr>
                <w:b/>
                <w:color w:val="FFFFFF"/>
                <w:sz w:val="20"/>
              </w:rPr>
              <w:t>UGRHIs</w:t>
            </w:r>
          </w:p>
        </w:tc>
        <w:tc>
          <w:tcPr>
            <w:tcW w:type="dxa" w:w="2436"/>
            <w:shd w:val="clear" w:color="auto" w:fill="1F5FA8"/>
          </w:tcPr>
          <w:p>
            <w:pPr>
              <w:jc w:val="center"/>
            </w:pPr>
            <w:r>
              <w:rPr>
                <w:b/>
                <w:color w:val="FFFFFF"/>
                <w:sz w:val="20"/>
              </w:rPr>
              <w:t>Estações</w:t>
            </w:r>
          </w:p>
        </w:tc>
        <w:tc>
          <w:tcPr>
            <w:tcW w:type="dxa" w:w="2436"/>
            <w:shd w:val="clear" w:color="auto" w:fill="1F5FA8"/>
          </w:tcPr>
          <w:p>
            <w:pPr>
              <w:jc w:val="center"/>
            </w:pPr>
            <w:r>
              <w:rPr>
                <w:b/>
                <w:color w:val="FFFFFF"/>
                <w:sz w:val="20"/>
              </w:rPr>
              <w:t>Medições/ano</w:t>
            </w:r>
          </w:p>
        </w:tc>
      </w:tr>
      <w:tr>
        <w:tc>
          <w:tcPr>
            <w:tcW w:type="dxa" w:w="2835"/>
            <w:shd w:val="clear" w:color="auto" w:fill="F7FAFD"/>
          </w:tcPr>
          <w:p>
            <w:pPr>
              <w:jc w:val="left"/>
            </w:pPr>
            <w:r>
              <w:rPr>
                <w:b/>
                <w:sz w:val="19"/>
              </w:rPr>
              <w:t>Alto Tietê</w:t>
            </w:r>
          </w:p>
        </w:tc>
        <w:tc>
          <w:tcPr>
            <w:tcW w:type="dxa" w:w="1417"/>
            <w:shd w:val="clear" w:color="auto" w:fill="F7FAFD"/>
          </w:tcPr>
          <w:p>
            <w:pPr>
              <w:jc w:val="center"/>
            </w:pPr>
            <w:r>
              <w:rPr>
                <w:sz w:val="19"/>
              </w:rPr>
              <w:t>06</w:t>
            </w:r>
          </w:p>
        </w:tc>
        <w:tc>
          <w:tcPr>
            <w:tcW w:type="dxa" w:w="1134"/>
            <w:shd w:val="clear" w:color="auto" w:fill="F7FAFD"/>
          </w:tcPr>
          <w:p>
            <w:pPr>
              <w:jc w:val="center"/>
            </w:pPr>
            <w:r>
              <w:rPr>
                <w:sz w:val="19"/>
              </w:rPr>
              <w:t>10</w:t>
            </w:r>
          </w:p>
        </w:tc>
        <w:tc>
          <w:tcPr>
            <w:tcW w:type="dxa" w:w="1417"/>
            <w:shd w:val="clear" w:color="auto" w:fill="F7FAFD"/>
          </w:tcPr>
          <w:p>
            <w:pPr>
              <w:jc w:val="center"/>
            </w:pPr>
            <w:r>
              <w:rPr>
                <w:sz w:val="19"/>
              </w:rPr>
              <w:t>≈ 35,3</w:t>
            </w:r>
          </w:p>
        </w:tc>
      </w:tr>
      <w:tr>
        <w:tc>
          <w:tcPr>
            <w:tcW w:type="dxa" w:w="2835"/>
            <w:shd w:val="clear" w:color="auto" w:fill="FFFFFF"/>
          </w:tcPr>
          <w:p>
            <w:pPr>
              <w:jc w:val="left"/>
            </w:pPr>
            <w:r>
              <w:rPr>
                <w:b/>
                <w:sz w:val="19"/>
              </w:rPr>
              <w:t>Sorocaba/Médio Tietê</w:t>
            </w:r>
          </w:p>
        </w:tc>
        <w:tc>
          <w:tcPr>
            <w:tcW w:type="dxa" w:w="1417"/>
            <w:shd w:val="clear" w:color="auto" w:fill="FFFFFF"/>
          </w:tcPr>
          <w:p>
            <w:pPr>
              <w:jc w:val="center"/>
            </w:pPr>
            <w:r>
              <w:rPr>
                <w:sz w:val="19"/>
              </w:rPr>
              <w:t>10</w:t>
            </w:r>
          </w:p>
        </w:tc>
        <w:tc>
          <w:tcPr>
            <w:tcW w:type="dxa" w:w="1134"/>
            <w:shd w:val="clear" w:color="auto" w:fill="FFFFFF"/>
          </w:tcPr>
          <w:p>
            <w:pPr>
              <w:jc w:val="center"/>
            </w:pPr>
            <w:r>
              <w:rPr>
                <w:sz w:val="19"/>
              </w:rPr>
              <w:t>16</w:t>
            </w:r>
          </w:p>
        </w:tc>
        <w:tc>
          <w:tcPr>
            <w:tcW w:type="dxa" w:w="1417"/>
            <w:shd w:val="clear" w:color="auto" w:fill="FFFFFF"/>
          </w:tcPr>
          <w:p>
            <w:pPr>
              <w:jc w:val="center"/>
            </w:pPr>
            <w:r>
              <w:rPr>
                <w:sz w:val="19"/>
              </w:rPr>
              <w:t>≈ 25,1</w:t>
            </w:r>
          </w:p>
        </w:tc>
      </w:tr>
      <w:tr>
        <w:tc>
          <w:tcPr>
            <w:tcW w:type="dxa" w:w="2835"/>
            <w:shd w:val="clear" w:color="auto" w:fill="F7FAFD"/>
          </w:tcPr>
          <w:p>
            <w:pPr>
              <w:jc w:val="left"/>
            </w:pPr>
            <w:r>
              <w:rPr>
                <w:b/>
                <w:sz w:val="19"/>
              </w:rPr>
              <w:t>Tietê/Jacaré-Batalha (fundido)</w:t>
            </w:r>
          </w:p>
        </w:tc>
        <w:tc>
          <w:tcPr>
            <w:tcW w:type="dxa" w:w="1417"/>
            <w:shd w:val="clear" w:color="auto" w:fill="F7FAFD"/>
          </w:tcPr>
          <w:p>
            <w:pPr>
              <w:jc w:val="center"/>
            </w:pPr>
            <w:r>
              <w:rPr>
                <w:sz w:val="19"/>
              </w:rPr>
              <w:t>13 + 16</w:t>
            </w:r>
          </w:p>
        </w:tc>
        <w:tc>
          <w:tcPr>
            <w:tcW w:type="dxa" w:w="1134"/>
            <w:shd w:val="clear" w:color="auto" w:fill="F7FAFD"/>
          </w:tcPr>
          <w:p>
            <w:pPr>
              <w:jc w:val="center"/>
            </w:pPr>
            <w:r>
              <w:rPr>
                <w:sz w:val="19"/>
              </w:rPr>
              <w:t>4</w:t>
            </w:r>
          </w:p>
        </w:tc>
        <w:tc>
          <w:tcPr>
            <w:tcW w:type="dxa" w:w="1417"/>
            <w:shd w:val="clear" w:color="auto" w:fill="F7FAFD"/>
          </w:tcPr>
          <w:p>
            <w:pPr>
              <w:jc w:val="center"/>
            </w:pPr>
            <w:r>
              <w:rPr>
                <w:sz w:val="19"/>
              </w:rPr>
              <w:t>≈ 17,0</w:t>
            </w:r>
          </w:p>
        </w:tc>
      </w:tr>
      <w:tr>
        <w:tc>
          <w:tcPr>
            <w:tcW w:type="dxa" w:w="2835"/>
            <w:shd w:val="clear" w:color="auto" w:fill="FFFFFF"/>
          </w:tcPr>
          <w:p>
            <w:pPr>
              <w:jc w:val="left"/>
            </w:pPr>
            <w:r>
              <w:rPr>
                <w:b/>
                <w:sz w:val="19"/>
              </w:rPr>
              <w:t>Baixo Tietê</w:t>
            </w:r>
          </w:p>
        </w:tc>
        <w:tc>
          <w:tcPr>
            <w:tcW w:type="dxa" w:w="1417"/>
            <w:shd w:val="clear" w:color="auto" w:fill="FFFFFF"/>
          </w:tcPr>
          <w:p>
            <w:pPr>
              <w:jc w:val="center"/>
            </w:pPr>
            <w:r>
              <w:rPr>
                <w:sz w:val="19"/>
              </w:rPr>
              <w:t>19</w:t>
            </w:r>
          </w:p>
        </w:tc>
        <w:tc>
          <w:tcPr>
            <w:tcW w:type="dxa" w:w="1134"/>
            <w:shd w:val="clear" w:color="auto" w:fill="FFFFFF"/>
          </w:tcPr>
          <w:p>
            <w:pPr>
              <w:jc w:val="center"/>
            </w:pPr>
            <w:r>
              <w:rPr>
                <w:sz w:val="19"/>
              </w:rPr>
              <w:t>2</w:t>
            </w:r>
          </w:p>
        </w:tc>
        <w:tc>
          <w:tcPr>
            <w:tcW w:type="dxa" w:w="1417"/>
            <w:shd w:val="clear" w:color="auto" w:fill="FFFFFF"/>
          </w:tcPr>
          <w:p>
            <w:pPr>
              <w:jc w:val="center"/>
            </w:pPr>
            <w:r>
              <w:rPr>
                <w:sz w:val="19"/>
              </w:rPr>
              <w:t>≈ 7,7</w:t>
            </w:r>
          </w:p>
        </w:tc>
      </w:tr>
    </w:tbl>
    <w:p>
      <w:pPr>
        <w:spacing w:after="40"/>
      </w:pPr>
    </w:p>
    <w:p>
      <w:pPr>
        <w:spacing w:after="160"/>
        <w:jc w:val="both"/>
      </w:pPr>
      <w:r>
        <w:rPr>
          <w:i w:val="0"/>
          <w:sz w:val="22"/>
        </w:rPr>
        <w:t>Jacaré (3 estações) e Batalha (1 estação) somados chegam a 4 estações e ≈17 medições/ano — ainda fino, mas comparável ao que o Baixo Tietê já opera hoje com resultado aceitável (Análise RF: Baixo Tietê é o trecho MAIS estável dos 3 atuais, apesar de só 2 estações). Isso separa de fato o Alto e o Sorocaba/Médio Tietê (que têm massa crítica de sobra), sem criar dois segmentos artificialmente frágeis (Jacaré e Batalha isolados).</w:t>
      </w:r>
    </w:p>
    <w:p>
      <w:pPr>
        <w:pStyle w:val="Heading2"/>
        <w:spacing w:before="280" w:after="120"/>
      </w:pPr>
      <w:r>
        <w:rPr>
          <w:b/>
          <w:color w:val="1F5FA8"/>
          <w:sz w:val="27"/>
        </w:rPr>
        <w:t>Complementar: granularidade sem redesenhar trecho_id</w:t>
      </w:r>
    </w:p>
    <w:p>
      <w:pPr>
        <w:spacing w:after="160"/>
        <w:jc w:val="both"/>
      </w:pPr>
      <w:r>
        <w:rPr>
          <w:i w:val="0"/>
          <w:sz w:val="22"/>
        </w:rPr>
        <w:t>Uma segunda via, que não exige mexer no ABM/biofísico/dashboard: manter os 3 trechos atuais para as features exógenas (uso do solo, clima, cenários), mas adicionar a estação individual como um nível extra no modelo de ML — um efeito aleatório por estação dentro do trecho (modelo hierárquico/misto), ou simplesmente incluir latitude/longitude/classe_uso da estação como preditoras adicionais na matriz anual. Ganha parte da granularidade espacial sem qualquer reestruturação do resto do pipeline — mais barato de implementar que a Opção B, mas não resolve a fusão conceitual do "Médio Tietê".</w:t>
      </w:r>
    </w:p>
    <w:p>
      <w:pPr>
        <w:pStyle w:val="Heading1"/>
        <w:spacing w:before="440" w:after="200"/>
      </w:pPr>
      <w:r>
        <w:rPr>
          <w:b/>
          <w:color w:val="0F2E44"/>
          <w:sz w:val="36"/>
        </w:rPr>
        <w:t>6. Comparação Final</w:t>
      </w:r>
    </w:p>
    <w:tbl>
      <w:tblPr>
        <w:tblW w:type="auto" w:w="0"/>
        <w:jc w:val="center"/>
        <w:tblLook w:firstColumn="1" w:firstRow="1" w:lastColumn="0" w:lastRow="0" w:noHBand="0" w:noVBand="1" w:val="04A0"/>
      </w:tblPr>
      <w:tblGrid>
        <w:gridCol w:w="2438"/>
        <w:gridCol w:w="1871"/>
        <w:gridCol w:w="2041"/>
        <w:gridCol w:w="1587"/>
      </w:tblGrid>
      <w:tr>
        <w:tc>
          <w:tcPr>
            <w:tcW w:type="dxa" w:w="2436"/>
            <w:shd w:val="clear" w:color="auto" w:fill="1F5FA8"/>
          </w:tcPr>
          <w:p>
            <w:pPr>
              <w:jc w:val="center"/>
            </w:pPr>
            <w:r>
              <w:rPr>
                <w:b/>
                <w:color w:val="FFFFFF"/>
                <w:sz w:val="20"/>
              </w:rPr>
              <w:t>Critério</w:t>
            </w:r>
          </w:p>
        </w:tc>
        <w:tc>
          <w:tcPr>
            <w:tcW w:type="dxa" w:w="2436"/>
            <w:shd w:val="clear" w:color="auto" w:fill="1F5FA8"/>
          </w:tcPr>
          <w:p>
            <w:pPr>
              <w:jc w:val="center"/>
            </w:pPr>
            <w:r>
              <w:rPr>
                <w:b/>
                <w:color w:val="FFFFFF"/>
                <w:sz w:val="20"/>
              </w:rPr>
              <w:t>A — 3 trechos (atual)</w:t>
            </w:r>
          </w:p>
        </w:tc>
        <w:tc>
          <w:tcPr>
            <w:tcW w:type="dxa" w:w="2436"/>
            <w:shd w:val="clear" w:color="auto" w:fill="1F5FA8"/>
          </w:tcPr>
          <w:p>
            <w:pPr>
              <w:jc w:val="center"/>
            </w:pPr>
            <w:r>
              <w:rPr>
                <w:b/>
                <w:color w:val="FFFFFF"/>
                <w:sz w:val="20"/>
              </w:rPr>
              <w:t>B — 5 trechos (UGRHI puro)</w:t>
            </w:r>
          </w:p>
        </w:tc>
        <w:tc>
          <w:tcPr>
            <w:tcW w:type="dxa" w:w="2436"/>
            <w:shd w:val="clear" w:color="auto" w:fill="1F5FA8"/>
          </w:tcPr>
          <w:p>
            <w:pPr>
              <w:jc w:val="center"/>
            </w:pPr>
            <w:r>
              <w:rPr>
                <w:b/>
                <w:color w:val="FFFFFF"/>
                <w:sz w:val="20"/>
              </w:rPr>
              <w:t>C — 4 trechos (híbrido)</w:t>
            </w:r>
          </w:p>
        </w:tc>
      </w:tr>
      <w:tr>
        <w:tc>
          <w:tcPr>
            <w:tcW w:type="dxa" w:w="2438"/>
            <w:shd w:val="clear" w:color="auto" w:fill="F7FAFD"/>
          </w:tcPr>
          <w:p>
            <w:pPr>
              <w:jc w:val="left"/>
            </w:pPr>
            <w:r>
              <w:rPr>
                <w:b/>
                <w:sz w:val="17"/>
              </w:rPr>
              <w:t>Fidelidade hidrológica</w:t>
            </w:r>
          </w:p>
        </w:tc>
        <w:tc>
          <w:tcPr>
            <w:tcW w:type="dxa" w:w="1871"/>
            <w:shd w:val="clear" w:color="auto" w:fill="F7FAFD"/>
          </w:tcPr>
          <w:p>
            <w:pPr>
              <w:jc w:val="center"/>
            </w:pPr>
            <w:r>
              <w:rPr>
                <w:sz w:val="17"/>
              </w:rPr>
              <w:t>Baixa (Médio é 3 bacias em 1)</w:t>
            </w:r>
          </w:p>
        </w:tc>
        <w:tc>
          <w:tcPr>
            <w:tcW w:type="dxa" w:w="2041"/>
            <w:shd w:val="clear" w:color="auto" w:fill="F7FAFD"/>
          </w:tcPr>
          <w:p>
            <w:pPr>
              <w:jc w:val="center"/>
            </w:pPr>
            <w:r>
              <w:rPr>
                <w:sz w:val="17"/>
              </w:rPr>
              <w:t>Alta (UGRHI oficial)</w:t>
            </w:r>
          </w:p>
        </w:tc>
        <w:tc>
          <w:tcPr>
            <w:tcW w:type="dxa" w:w="1587"/>
            <w:shd w:val="clear" w:color="auto" w:fill="F7FAFD"/>
          </w:tcPr>
          <w:p>
            <w:pPr>
              <w:jc w:val="center"/>
            </w:pPr>
            <w:r>
              <w:rPr>
                <w:sz w:val="17"/>
              </w:rPr>
              <w:t>Média-alta</w:t>
            </w:r>
          </w:p>
        </w:tc>
      </w:tr>
      <w:tr>
        <w:tc>
          <w:tcPr>
            <w:tcW w:type="dxa" w:w="2438"/>
            <w:shd w:val="clear" w:color="auto" w:fill="FFFFFF"/>
          </w:tcPr>
          <w:p>
            <w:pPr>
              <w:jc w:val="left"/>
            </w:pPr>
            <w:r>
              <w:rPr>
                <w:b/>
                <w:sz w:val="17"/>
              </w:rPr>
              <w:t>Estações por segmento (mín-máx)</w:t>
            </w:r>
          </w:p>
        </w:tc>
        <w:tc>
          <w:tcPr>
            <w:tcW w:type="dxa" w:w="1871"/>
            <w:shd w:val="clear" w:color="auto" w:fill="FFFFFF"/>
          </w:tcPr>
          <w:p>
            <w:pPr>
              <w:jc w:val="center"/>
            </w:pPr>
            <w:r>
              <w:rPr>
                <w:sz w:val="17"/>
              </w:rPr>
              <w:t>2-20</w:t>
            </w:r>
          </w:p>
        </w:tc>
        <w:tc>
          <w:tcPr>
            <w:tcW w:type="dxa" w:w="2041"/>
            <w:shd w:val="clear" w:color="auto" w:fill="FFFFFF"/>
          </w:tcPr>
          <w:p>
            <w:pPr>
              <w:jc w:val="center"/>
            </w:pPr>
            <w:r>
              <w:rPr>
                <w:sz w:val="17"/>
              </w:rPr>
              <w:t>1-16</w:t>
            </w:r>
          </w:p>
        </w:tc>
        <w:tc>
          <w:tcPr>
            <w:tcW w:type="dxa" w:w="1587"/>
            <w:shd w:val="clear" w:color="auto" w:fill="FFFFFF"/>
          </w:tcPr>
          <w:p>
            <w:pPr>
              <w:jc w:val="center"/>
            </w:pPr>
            <w:r>
              <w:rPr>
                <w:sz w:val="17"/>
              </w:rPr>
              <w:t>2-16</w:t>
            </w:r>
          </w:p>
        </w:tc>
      </w:tr>
      <w:tr>
        <w:tc>
          <w:tcPr>
            <w:tcW w:type="dxa" w:w="2438"/>
            <w:shd w:val="clear" w:color="auto" w:fill="F7FAFD"/>
          </w:tcPr>
          <w:p>
            <w:pPr>
              <w:jc w:val="left"/>
            </w:pPr>
            <w:r>
              <w:rPr>
                <w:b/>
                <w:sz w:val="17"/>
              </w:rPr>
              <w:t>Medições/ano por segmento (mín-máx)</w:t>
            </w:r>
          </w:p>
        </w:tc>
        <w:tc>
          <w:tcPr>
            <w:tcW w:type="dxa" w:w="1871"/>
            <w:shd w:val="clear" w:color="auto" w:fill="F7FAFD"/>
          </w:tcPr>
          <w:p>
            <w:pPr>
              <w:jc w:val="center"/>
            </w:pPr>
            <w:r>
              <w:rPr>
                <w:sz w:val="17"/>
              </w:rPr>
              <w:t>≈7,7-25 (agregado)</w:t>
            </w:r>
          </w:p>
        </w:tc>
        <w:tc>
          <w:tcPr>
            <w:tcW w:type="dxa" w:w="2041"/>
            <w:shd w:val="clear" w:color="auto" w:fill="F7FAFD"/>
          </w:tcPr>
          <w:p>
            <w:pPr>
              <w:jc w:val="center"/>
            </w:pPr>
            <w:r>
              <w:rPr>
                <w:sz w:val="17"/>
              </w:rPr>
              <w:t>≈6,7-35,3</w:t>
            </w:r>
          </w:p>
        </w:tc>
        <w:tc>
          <w:tcPr>
            <w:tcW w:type="dxa" w:w="1587"/>
            <w:shd w:val="clear" w:color="auto" w:fill="F7FAFD"/>
          </w:tcPr>
          <w:p>
            <w:pPr>
              <w:jc w:val="center"/>
            </w:pPr>
            <w:r>
              <w:rPr>
                <w:sz w:val="17"/>
              </w:rPr>
              <w:t>≈7,7-35,3</w:t>
            </w:r>
          </w:p>
        </w:tc>
      </w:tr>
      <w:tr>
        <w:tc>
          <w:tcPr>
            <w:tcW w:type="dxa" w:w="2438"/>
            <w:shd w:val="clear" w:color="auto" w:fill="FFFFFF"/>
          </w:tcPr>
          <w:p>
            <w:pPr>
              <w:jc w:val="left"/>
            </w:pPr>
            <w:r>
              <w:rPr>
                <w:b/>
                <w:sz w:val="17"/>
              </w:rPr>
              <w:t>Retrabalho de código</w:t>
            </w:r>
          </w:p>
        </w:tc>
        <w:tc>
          <w:tcPr>
            <w:tcW w:type="dxa" w:w="1871"/>
            <w:shd w:val="clear" w:color="auto" w:fill="FFFFFF"/>
          </w:tcPr>
          <w:p>
            <w:pPr>
              <w:jc w:val="center"/>
            </w:pPr>
            <w:r>
              <w:rPr>
                <w:sz w:val="17"/>
              </w:rPr>
              <w:t>Nenhum</w:t>
            </w:r>
          </w:p>
        </w:tc>
        <w:tc>
          <w:tcPr>
            <w:tcW w:type="dxa" w:w="2041"/>
            <w:shd w:val="clear" w:color="auto" w:fill="FFFFFF"/>
          </w:tcPr>
          <w:p>
            <w:pPr>
              <w:jc w:val="center"/>
            </w:pPr>
            <w:r>
              <w:rPr>
                <w:sz w:val="17"/>
              </w:rPr>
              <w:t>Alto (3→5 em todo o pipeline)</w:t>
            </w:r>
          </w:p>
        </w:tc>
        <w:tc>
          <w:tcPr>
            <w:tcW w:type="dxa" w:w="1587"/>
            <w:shd w:val="clear" w:color="auto" w:fill="FFFFFF"/>
          </w:tcPr>
          <w:p>
            <w:pPr>
              <w:jc w:val="center"/>
            </w:pPr>
            <w:r>
              <w:rPr>
                <w:sz w:val="17"/>
              </w:rPr>
              <w:t>Alto (3→4 em todo o pipeline)</w:t>
            </w:r>
          </w:p>
        </w:tc>
      </w:tr>
      <w:tr>
        <w:tc>
          <w:tcPr>
            <w:tcW w:type="dxa" w:w="2438"/>
            <w:shd w:val="clear" w:color="auto" w:fill="F7FAFD"/>
          </w:tcPr>
          <w:p>
            <w:pPr>
              <w:jc w:val="left"/>
            </w:pPr>
            <w:r>
              <w:rPr>
                <w:b/>
                <w:sz w:val="17"/>
              </w:rPr>
              <w:t>Risco de overfitting no segmento mais fino</w:t>
            </w:r>
          </w:p>
        </w:tc>
        <w:tc>
          <w:tcPr>
            <w:tcW w:type="dxa" w:w="1871"/>
            <w:shd w:val="clear" w:color="auto" w:fill="F7FAFD"/>
          </w:tcPr>
          <w:p>
            <w:pPr>
              <w:jc w:val="center"/>
            </w:pPr>
            <w:r>
              <w:rPr>
                <w:sz w:val="17"/>
              </w:rPr>
              <w:t>Moderado (Alto Tietê)</w:t>
            </w:r>
          </w:p>
        </w:tc>
        <w:tc>
          <w:tcPr>
            <w:tcW w:type="dxa" w:w="2041"/>
            <w:shd w:val="clear" w:color="auto" w:fill="F7FAFD"/>
          </w:tcPr>
          <w:p>
            <w:pPr>
              <w:jc w:val="center"/>
            </w:pPr>
            <w:r>
              <w:rPr>
                <w:sz w:val="17"/>
              </w:rPr>
              <w:t>Alto (Tietê/Batalha, 1 estação só)</w:t>
            </w:r>
          </w:p>
        </w:tc>
        <w:tc>
          <w:tcPr>
            <w:tcW w:type="dxa" w:w="1587"/>
            <w:shd w:val="clear" w:color="auto" w:fill="F7FAFD"/>
          </w:tcPr>
          <w:p>
            <w:pPr>
              <w:jc w:val="center"/>
            </w:pPr>
            <w:r>
              <w:rPr>
                <w:sz w:val="17"/>
              </w:rPr>
              <w:t>Moderado (Jacaré-Batalha, 4 estações)</w:t>
            </w:r>
          </w:p>
        </w:tc>
      </w:tr>
      <w:tr>
        <w:tc>
          <w:tcPr>
            <w:tcW w:type="dxa" w:w="2438"/>
            <w:shd w:val="clear" w:color="auto" w:fill="FFFFFF"/>
          </w:tcPr>
          <w:p>
            <w:pPr>
              <w:jc w:val="left"/>
            </w:pPr>
            <w:r>
              <w:rPr>
                <w:b/>
                <w:sz w:val="17"/>
              </w:rPr>
              <w:t>Resolve a mistura Classe 2 + Classe 4 do Alto Tietê</w:t>
            </w:r>
          </w:p>
        </w:tc>
        <w:tc>
          <w:tcPr>
            <w:tcW w:type="dxa" w:w="1871"/>
            <w:shd w:val="clear" w:color="auto" w:fill="FFFFFF"/>
          </w:tcPr>
          <w:p>
            <w:pPr>
              <w:jc w:val="center"/>
            </w:pPr>
            <w:r>
              <w:rPr>
                <w:sz w:val="17"/>
              </w:rPr>
              <w:t>Não</w:t>
            </w:r>
          </w:p>
        </w:tc>
        <w:tc>
          <w:tcPr>
            <w:tcW w:type="dxa" w:w="2041"/>
            <w:shd w:val="clear" w:color="auto" w:fill="FFFFFF"/>
          </w:tcPr>
          <w:p>
            <w:pPr>
              <w:jc w:val="center"/>
            </w:pPr>
            <w:r>
              <w:rPr>
                <w:sz w:val="17"/>
              </w:rPr>
              <w:t>Sim</w:t>
            </w:r>
          </w:p>
        </w:tc>
        <w:tc>
          <w:tcPr>
            <w:tcW w:type="dxa" w:w="1587"/>
            <w:shd w:val="clear" w:color="auto" w:fill="FFFFFF"/>
          </w:tcPr>
          <w:p>
            <w:pPr>
              <w:jc w:val="center"/>
            </w:pPr>
            <w:r>
              <w:rPr>
                <w:sz w:val="17"/>
              </w:rPr>
              <w:t>Sim</w:t>
            </w:r>
          </w:p>
        </w:tc>
      </w:tr>
    </w:tbl>
    <w:p>
      <w:pPr>
        <w:spacing w:after="40"/>
      </w:pPr>
    </w:p>
    <w:p>
      <w:pPr>
        <w:pStyle w:val="Heading1"/>
        <w:spacing w:before="440" w:after="200"/>
      </w:pPr>
      <w:r>
        <w:rPr>
          <w:b/>
          <w:color w:val="0F2E44"/>
          <w:sz w:val="36"/>
        </w:rPr>
        <w:t>7. Recomendação</w:t>
      </w:r>
    </w:p>
    <w:p>
      <w:pPr>
        <w:spacing w:after="160"/>
        <w:jc w:val="both"/>
      </w:pPr>
      <w:r>
        <w:rPr>
          <w:i w:val="0"/>
          <w:sz w:val="22"/>
        </w:rPr>
        <w:t>A divisão em 4 trechos (Opção C) é o melhor ponto de partida: usa a mesma fonte de dado real já ingerida, corrige a fusão de bacias mais problemática (separar Sorocaba/Médio Tietê do Alto), e evita criar um segmento com uma estação só (Tietê/Batalha isolado), que reproduziria — em escala menor — o mesmo problema que o Baixo Tietê já tem hoje.</w:t>
      </w:r>
    </w:p>
    <w:p>
      <w:pPr>
        <w:spacing w:after="160"/>
        <w:jc w:val="both"/>
      </w:pPr>
      <w:r>
        <w:rPr>
          <w:i w:val="0"/>
          <w:sz w:val="22"/>
        </w:rPr>
        <w:t>Antes de reestruturar o pipeline inteiro, o passo de menor risco é rodar a Opção B/C só como um ESTUDO PARALELO (retreinar RandomForest sobre a série anual de cada UGRHI real, sem tocar no trecho_id de produção) e comparar MAE/RMSE contra o "Médio Tietê" agregado de hoje — é o Estudo 2026-09 mais direto para decidir, com dado (não intuição), se a divisão realmente reduz erro o suficiente para justificar o retrabalho de código.</w:t>
      </w:r>
    </w:p>
    <w:tbl>
      <w:tblPr>
        <w:tblW w:type="auto" w:w="0"/>
        <w:jc w:val="center"/>
        <w:tblLook w:firstColumn="1" w:firstRow="1" w:lastColumn="0" w:lastRow="0" w:noHBand="0" w:noVBand="1" w:val="04A0"/>
      </w:tblPr>
      <w:tblGrid>
        <w:gridCol w:w="9746"/>
      </w:tblGrid>
      <w:tr>
        <w:tc>
          <w:tcPr>
            <w:tcW w:type="dxa" w:w="9746"/>
            <w:shd w:val="clear" w:color="auto" w:fill="F2F6FB"/>
          </w:tcPr>
          <w:p>
            <w:pPr>
              <w:spacing w:after="80"/>
            </w:pPr>
            <w:r>
              <w:rPr>
                <w:b/>
                <w:color w:val="1F5FA8"/>
                <w:sz w:val="22"/>
              </w:rPr>
              <w:t>Nota final:</w:t>
            </w:r>
          </w:p>
          <w:p>
            <w:pPr>
              <w:jc w:val="both"/>
            </w:pPr>
            <w:r>
              <w:rPr>
                <w:sz w:val="21"/>
              </w:rPr>
              <w:t>Nenhuma divisão resolve o Baixo Tietê — o limite ali não é granularidade, é cobertura espacial real (só 2 estações em 250 km de rio). O ganho de dividir está concentrado no Alto e no atual Médio Tietê, exatamente os trechos onde já existe massa crítica de estações reais para sustentar uma divisão mais fina sem esvaziar o treino.</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