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DFD" w:rsidRDefault="00784DFD">
      <w:pPr>
        <w:spacing w:before="1600"/>
      </w:pPr>
    </w:p>
    <w:p w:rsidR="00784DFD" w:rsidRDefault="00D61A55">
      <w:pPr>
        <w:jc w:val="center"/>
      </w:pPr>
      <w:r>
        <w:rPr>
          <w:b/>
          <w:bCs/>
          <w:color w:val="1F4E5F"/>
          <w:spacing w:val="20"/>
          <w:sz w:val="32"/>
          <w:szCs w:val="32"/>
        </w:rPr>
        <w:t>WATERWEAVE-TIETÊ</w:t>
      </w:r>
    </w:p>
    <w:p w:rsidR="00784DFD" w:rsidRDefault="00D61A55">
      <w:pPr>
        <w:spacing w:before="200" w:after="400"/>
        <w:jc w:val="center"/>
      </w:pPr>
      <w:r>
        <w:rPr>
          <w:i/>
          <w:iCs/>
          <w:color w:val="595959"/>
        </w:rPr>
        <w:t>Plataforma híbrida de gestão de recursos hídricos</w:t>
      </w:r>
    </w:p>
    <w:p w:rsidR="00784DFD" w:rsidRDefault="00D61A55">
      <w:pPr>
        <w:spacing w:before="300"/>
        <w:jc w:val="center"/>
      </w:pPr>
      <w:r>
        <w:rPr>
          <w:b/>
          <w:bCs/>
          <w:sz w:val="40"/>
          <w:szCs w:val="40"/>
        </w:rPr>
        <w:t>Arquitetura do Pipeline de Dados</w:t>
      </w:r>
    </w:p>
    <w:p w:rsidR="00784DFD" w:rsidRDefault="00D61A55">
      <w:pPr>
        <w:spacing w:before="200" w:after="900"/>
        <w:jc w:val="center"/>
      </w:pPr>
      <w:r>
        <w:rPr>
          <w:color w:val="595959"/>
          <w:sz w:val="24"/>
          <w:szCs w:val="24"/>
        </w:rPr>
        <w:t>Da coleta na fonte até a entrega a pessoas, aplicações e modelos</w:t>
      </w:r>
    </w:p>
    <w:p w:rsidR="00784DFD" w:rsidRDefault="00D61A55">
      <w:pPr>
        <w:spacing w:before="200"/>
        <w:jc w:val="center"/>
      </w:pPr>
      <w:r>
        <w:rPr>
          <w:b/>
          <w:bCs/>
        </w:rPr>
        <w:t>Relatório técnico</w:t>
      </w:r>
    </w:p>
    <w:p w:rsidR="00784DFD" w:rsidRDefault="00D61A55">
      <w:pPr>
        <w:spacing w:before="100"/>
        <w:jc w:val="center"/>
      </w:pPr>
      <w:r>
        <w:t>Projeto WaterWeave-Water4All</w:t>
      </w:r>
    </w:p>
    <w:p w:rsidR="00784DFD" w:rsidRDefault="00D61A55">
      <w:pPr>
        <w:spacing w:before="100"/>
        <w:jc w:val="center"/>
      </w:pPr>
      <w:r>
        <w:rPr>
          <w:color w:val="595959"/>
        </w:rPr>
        <w:t>Julho de 2026</w:t>
      </w:r>
    </w:p>
    <w:p w:rsidR="00784DFD" w:rsidRDefault="00D61A55">
      <w:r>
        <w:br w:type="page"/>
      </w:r>
    </w:p>
    <w:p w:rsidR="00784DFD" w:rsidRDefault="00D61A55">
      <w:pPr>
        <w:pStyle w:val="Heading1"/>
      </w:pPr>
      <w:r>
        <w:lastRenderedPageBreak/>
        <w:t>Sumário</w:t>
      </w:r>
    </w:p>
    <w:p w:rsidR="00784DFD" w:rsidRDefault="00D61A55">
      <w:pPr>
        <w:spacing w:after="200"/>
      </w:pPr>
      <w:r>
        <w:rPr>
          <w:i/>
          <w:iCs/>
          <w:color w:val="595959"/>
          <w:sz w:val="18"/>
          <w:szCs w:val="18"/>
        </w:rPr>
        <w:t>(Clique com o botão direito sobre o sumário e escolha “Atualizar campo” após abrir no Word para gerar os números de página.)</w:t>
      </w:r>
    </w:p>
    <w:sdt>
      <w:sdtPr>
        <w:alias w:val="Sumário"/>
        <w:id w:val="745619688"/>
      </w:sdtPr>
      <w:sdtEndPr/>
      <w:sdtContent>
        <w:p w:rsidR="00784DFD" w:rsidRDefault="00D61A55">
          <w:r>
            <w:fldChar w:fldCharType="begin"/>
          </w:r>
          <w:r>
            <w:instrText>TOC \h \o "1-3"</w:instrText>
          </w:r>
          <w:r>
            <w:fldChar w:fldCharType="separate"/>
          </w:r>
        </w:p>
        <w:p w:rsidR="00784DFD" w:rsidRDefault="00D61A55">
          <w:r>
            <w:fldChar w:fldCharType="end"/>
          </w:r>
        </w:p>
      </w:sdtContent>
    </w:sdt>
    <w:p w:rsidR="00784DFD" w:rsidRDefault="00D61A55">
      <w:r>
        <w:br w:type="page"/>
      </w:r>
    </w:p>
    <w:p w:rsidR="00784DFD" w:rsidRDefault="00D61A55">
      <w:pPr>
        <w:pStyle w:val="Heading1"/>
      </w:pPr>
      <w:r>
        <w:lastRenderedPageBreak/>
        <w:t>Introdução</w:t>
      </w:r>
    </w:p>
    <w:p w:rsidR="00784DFD" w:rsidRDefault="00D61A55" w:rsidP="005E7A51">
      <w:pPr>
        <w:spacing w:after="200" w:line="300" w:lineRule="auto"/>
        <w:jc w:val="both"/>
      </w:pPr>
      <w:r>
        <w:t>Este relatório documenta a arquitetura de dados do WaterWeave-Tietê: o caminho completo que um d</w:t>
      </w:r>
      <w:r>
        <w:t>ado percorre desde o sistema de origem (uma planilha do DAEE, uma API pública da ANA, uma imagem de satélite do Google Earth Engine) até chegar, já limpo, agregado e confiável, às pessoas que tomam decisão, ao dashboard que elas usam e aos modelos de Machi</w:t>
      </w:r>
      <w:r>
        <w:t>ne Learning/biofísico/ABM que a plataforma roda.</w:t>
      </w:r>
    </w:p>
    <w:p w:rsidR="00784DFD" w:rsidRDefault="00D61A55" w:rsidP="005E7A51">
      <w:pPr>
        <w:spacing w:after="200" w:line="300" w:lineRule="auto"/>
        <w:jc w:val="both"/>
      </w:pPr>
      <w:r>
        <w:t>A arquitetura segue o padrão "medallion" (Bronze → Silver → Gold), amplamente usado em engenharia de dados moderna, implementado sobre tabelas Delta Lake em disco local — sem exigir um cluster Spark ou infra</w:t>
      </w:r>
      <w:r>
        <w:t>estrutura em nuvem. Cada seção deste documento cobre uma etapa do fluxo: coleta, processamento, armazenamento e entrega, nessa ordem, com base direta na leitura do código-fonte do projeto (src/waterweave/ingestion/, transform/, io_delta.py, ingestion/month</w:t>
      </w:r>
      <w:r>
        <w:t>ly_job.py, orchestration/airflow_dags/ e webapp/data_loader.py).</w:t>
      </w:r>
    </w:p>
    <w:p w:rsidR="00784DFD" w:rsidRDefault="00D61A55">
      <w:pPr>
        <w:pStyle w:val="Heading2"/>
      </w:pPr>
      <w:r>
        <w:t>Visão geral em um único fluxo</w:t>
      </w:r>
    </w:p>
    <w:tbl>
      <w:tblPr>
        <w:tblW w:w="9026" w:type="dxa"/>
        <w:tblCellMar>
          <w:left w:w="10" w:type="dxa"/>
          <w:right w:w="10" w:type="dxa"/>
        </w:tblCellMar>
        <w:tblLook w:val="04A0" w:firstRow="1" w:lastRow="0" w:firstColumn="1" w:lastColumn="0" w:noHBand="0" w:noVBand="1"/>
      </w:tblPr>
      <w:tblGrid>
        <w:gridCol w:w="1569"/>
        <w:gridCol w:w="291"/>
        <w:gridCol w:w="1567"/>
        <w:gridCol w:w="291"/>
        <w:gridCol w:w="1561"/>
        <w:gridCol w:w="291"/>
        <w:gridCol w:w="1555"/>
        <w:gridCol w:w="291"/>
        <w:gridCol w:w="1610"/>
      </w:tblGrid>
      <w:tr w:rsidR="00784DFD">
        <w:tblPrEx>
          <w:tblCellMar>
            <w:top w:w="0" w:type="dxa"/>
            <w:bottom w:w="0" w:type="dxa"/>
          </w:tblCellMar>
        </w:tblPrEx>
        <w:tc>
          <w:tcPr>
            <w:tcW w:w="1700" w:type="dxa"/>
            <w:tcBorders>
              <w:top w:val="single" w:sz="4" w:space="0" w:color="8E44AD"/>
              <w:left w:val="single" w:sz="4" w:space="0" w:color="8E44AD"/>
              <w:bottom w:val="single" w:sz="4" w:space="0" w:color="8E44AD"/>
              <w:right w:val="single" w:sz="4" w:space="0" w:color="8E44AD"/>
            </w:tcBorders>
            <w:shd w:val="clear" w:color="auto" w:fill="8E44AD"/>
            <w:tcMar>
              <w:top w:w="160" w:type="dxa"/>
              <w:left w:w="80" w:type="dxa"/>
              <w:bottom w:w="160" w:type="dxa"/>
              <w:right w:w="80" w:type="dxa"/>
            </w:tcMar>
            <w:vAlign w:val="center"/>
          </w:tcPr>
          <w:p w:rsidR="00784DFD" w:rsidRDefault="00D61A55">
            <w:pPr>
              <w:jc w:val="center"/>
            </w:pPr>
            <w:r>
              <w:rPr>
                <w:b/>
                <w:bCs/>
                <w:color w:val="FFFFFF"/>
                <w:sz w:val="18"/>
                <w:szCs w:val="18"/>
              </w:rPr>
              <w:t>FONTES DE ORIGEM</w:t>
            </w:r>
          </w:p>
        </w:tc>
        <w:tc>
          <w:tcPr>
            <w:tcW w:w="300" w:type="dxa"/>
            <w:vAlign w:val="center"/>
          </w:tcPr>
          <w:p w:rsidR="00784DFD" w:rsidRDefault="00D61A55">
            <w:pPr>
              <w:jc w:val="center"/>
            </w:pPr>
            <w:r>
              <w:rPr>
                <w:b/>
                <w:bCs/>
                <w:color w:val="595959"/>
                <w:sz w:val="24"/>
                <w:szCs w:val="24"/>
              </w:rPr>
              <w:t>→</w:t>
            </w:r>
          </w:p>
        </w:tc>
        <w:tc>
          <w:tcPr>
            <w:tcW w:w="1700" w:type="dxa"/>
            <w:tcBorders>
              <w:top w:val="single" w:sz="4" w:space="0" w:color="A0522D"/>
              <w:left w:val="single" w:sz="4" w:space="0" w:color="A0522D"/>
              <w:bottom w:val="single" w:sz="4" w:space="0" w:color="A0522D"/>
              <w:right w:val="single" w:sz="4" w:space="0" w:color="A0522D"/>
            </w:tcBorders>
            <w:shd w:val="clear" w:color="auto" w:fill="A0522D"/>
            <w:tcMar>
              <w:top w:w="160" w:type="dxa"/>
              <w:left w:w="80" w:type="dxa"/>
              <w:bottom w:w="160" w:type="dxa"/>
              <w:right w:w="80" w:type="dxa"/>
            </w:tcMar>
            <w:vAlign w:val="center"/>
          </w:tcPr>
          <w:p w:rsidR="00784DFD" w:rsidRDefault="00D61A55">
            <w:pPr>
              <w:jc w:val="center"/>
            </w:pPr>
            <w:r>
              <w:rPr>
                <w:b/>
                <w:bCs/>
                <w:color w:val="FFFFFF"/>
                <w:sz w:val="18"/>
                <w:szCs w:val="18"/>
              </w:rPr>
              <w:t>BRONZE</w:t>
            </w:r>
          </w:p>
        </w:tc>
        <w:tc>
          <w:tcPr>
            <w:tcW w:w="300" w:type="dxa"/>
            <w:vAlign w:val="center"/>
          </w:tcPr>
          <w:p w:rsidR="00784DFD" w:rsidRDefault="00D61A55">
            <w:pPr>
              <w:jc w:val="center"/>
            </w:pPr>
            <w:r>
              <w:rPr>
                <w:b/>
                <w:bCs/>
                <w:color w:val="595959"/>
                <w:sz w:val="24"/>
                <w:szCs w:val="24"/>
              </w:rPr>
              <w:t>→</w:t>
            </w:r>
          </w:p>
        </w:tc>
        <w:tc>
          <w:tcPr>
            <w:tcW w:w="1700" w:type="dxa"/>
            <w:tcBorders>
              <w:top w:val="single" w:sz="4" w:space="0" w:color="B7950B"/>
              <w:left w:val="single" w:sz="4" w:space="0" w:color="B7950B"/>
              <w:bottom w:val="single" w:sz="4" w:space="0" w:color="B7950B"/>
              <w:right w:val="single" w:sz="4" w:space="0" w:color="B7950B"/>
            </w:tcBorders>
            <w:shd w:val="clear" w:color="auto" w:fill="B7950B"/>
            <w:tcMar>
              <w:top w:w="160" w:type="dxa"/>
              <w:left w:w="80" w:type="dxa"/>
              <w:bottom w:w="160" w:type="dxa"/>
              <w:right w:w="80" w:type="dxa"/>
            </w:tcMar>
            <w:vAlign w:val="center"/>
          </w:tcPr>
          <w:p w:rsidR="00784DFD" w:rsidRDefault="00D61A55">
            <w:pPr>
              <w:jc w:val="center"/>
            </w:pPr>
            <w:r>
              <w:rPr>
                <w:b/>
                <w:bCs/>
                <w:color w:val="FFFFFF"/>
                <w:sz w:val="18"/>
                <w:szCs w:val="18"/>
              </w:rPr>
              <w:t>SILVER</w:t>
            </w:r>
          </w:p>
        </w:tc>
        <w:tc>
          <w:tcPr>
            <w:tcW w:w="300" w:type="dxa"/>
            <w:vAlign w:val="center"/>
          </w:tcPr>
          <w:p w:rsidR="00784DFD" w:rsidRDefault="00D61A55">
            <w:pPr>
              <w:jc w:val="center"/>
            </w:pPr>
            <w:r>
              <w:rPr>
                <w:b/>
                <w:bCs/>
                <w:color w:val="595959"/>
                <w:sz w:val="24"/>
                <w:szCs w:val="24"/>
              </w:rPr>
              <w:t>→</w:t>
            </w:r>
          </w:p>
        </w:tc>
        <w:tc>
          <w:tcPr>
            <w:tcW w:w="1700" w:type="dxa"/>
            <w:tcBorders>
              <w:top w:val="single" w:sz="4" w:space="0" w:color="D4AC0D"/>
              <w:left w:val="single" w:sz="4" w:space="0" w:color="D4AC0D"/>
              <w:bottom w:val="single" w:sz="4" w:space="0" w:color="D4AC0D"/>
              <w:right w:val="single" w:sz="4" w:space="0" w:color="D4AC0D"/>
            </w:tcBorders>
            <w:shd w:val="clear" w:color="auto" w:fill="D4AC0D"/>
            <w:tcMar>
              <w:top w:w="160" w:type="dxa"/>
              <w:left w:w="80" w:type="dxa"/>
              <w:bottom w:w="160" w:type="dxa"/>
              <w:right w:w="80" w:type="dxa"/>
            </w:tcMar>
            <w:vAlign w:val="center"/>
          </w:tcPr>
          <w:p w:rsidR="00784DFD" w:rsidRDefault="00D61A55">
            <w:pPr>
              <w:jc w:val="center"/>
            </w:pPr>
            <w:r>
              <w:rPr>
                <w:b/>
                <w:bCs/>
                <w:color w:val="3D3D3D"/>
                <w:sz w:val="18"/>
                <w:szCs w:val="18"/>
              </w:rPr>
              <w:t>GOLD</w:t>
            </w:r>
          </w:p>
        </w:tc>
        <w:tc>
          <w:tcPr>
            <w:tcW w:w="300" w:type="dxa"/>
            <w:vAlign w:val="center"/>
          </w:tcPr>
          <w:p w:rsidR="00784DFD" w:rsidRDefault="00D61A55">
            <w:pPr>
              <w:jc w:val="center"/>
            </w:pPr>
            <w:r>
              <w:rPr>
                <w:b/>
                <w:bCs/>
                <w:color w:val="595959"/>
                <w:sz w:val="24"/>
                <w:szCs w:val="24"/>
              </w:rPr>
              <w:t>→</w:t>
            </w:r>
          </w:p>
        </w:tc>
        <w:tc>
          <w:tcPr>
            <w:tcW w:w="1700" w:type="dxa"/>
            <w:tcBorders>
              <w:top w:val="single" w:sz="4" w:space="0" w:color="1F4E5F"/>
              <w:left w:val="single" w:sz="4" w:space="0" w:color="1F4E5F"/>
              <w:bottom w:val="single" w:sz="4" w:space="0" w:color="1F4E5F"/>
              <w:right w:val="single" w:sz="4" w:space="0" w:color="1F4E5F"/>
            </w:tcBorders>
            <w:shd w:val="clear" w:color="auto" w:fill="1F4E5F"/>
            <w:tcMar>
              <w:top w:w="160" w:type="dxa"/>
              <w:left w:w="80" w:type="dxa"/>
              <w:bottom w:w="160" w:type="dxa"/>
              <w:right w:w="80" w:type="dxa"/>
            </w:tcMar>
            <w:vAlign w:val="center"/>
          </w:tcPr>
          <w:p w:rsidR="00784DFD" w:rsidRDefault="00D61A55">
            <w:pPr>
              <w:jc w:val="center"/>
            </w:pPr>
            <w:r>
              <w:rPr>
                <w:b/>
                <w:bCs/>
                <w:color w:val="FFFFFF"/>
                <w:sz w:val="18"/>
                <w:szCs w:val="18"/>
              </w:rPr>
              <w:t>PESSOAS, APPS E MODELOS</w:t>
            </w:r>
          </w:p>
        </w:tc>
      </w:tr>
      <w:tr w:rsidR="00784DFD">
        <w:tblPrEx>
          <w:tblCellMar>
            <w:top w:w="0" w:type="dxa"/>
            <w:bottom w:w="0" w:type="dxa"/>
          </w:tblCellMar>
        </w:tblPrEx>
        <w:tc>
          <w:tcPr>
            <w:tcW w:w="1700" w:type="dxa"/>
          </w:tcPr>
          <w:p w:rsidR="00784DFD" w:rsidRDefault="00D61A55">
            <w:pPr>
              <w:jc w:val="center"/>
            </w:pPr>
            <w:r>
              <w:rPr>
                <w:i/>
                <w:iCs/>
                <w:color w:val="595959"/>
                <w:sz w:val="14"/>
                <w:szCs w:val="14"/>
              </w:rPr>
              <w:t>DAEE, ANA, CETESB, MapBiomas, Landsat, ERA5/CMIP6</w:t>
            </w:r>
          </w:p>
        </w:tc>
        <w:tc>
          <w:tcPr>
            <w:tcW w:w="300" w:type="dxa"/>
          </w:tcPr>
          <w:p w:rsidR="00784DFD" w:rsidRDefault="00784DFD"/>
        </w:tc>
        <w:tc>
          <w:tcPr>
            <w:tcW w:w="1700" w:type="dxa"/>
          </w:tcPr>
          <w:p w:rsidR="00784DFD" w:rsidRDefault="00D61A55">
            <w:pPr>
              <w:jc w:val="center"/>
            </w:pPr>
            <w:r>
              <w:rPr>
                <w:i/>
                <w:iCs/>
                <w:color w:val="595959"/>
                <w:sz w:val="14"/>
                <w:szCs w:val="14"/>
              </w:rPr>
              <w:t>Espelho fiel + proveniência</w:t>
            </w:r>
          </w:p>
        </w:tc>
        <w:tc>
          <w:tcPr>
            <w:tcW w:w="300" w:type="dxa"/>
          </w:tcPr>
          <w:p w:rsidR="00784DFD" w:rsidRDefault="00784DFD"/>
        </w:tc>
        <w:tc>
          <w:tcPr>
            <w:tcW w:w="1700" w:type="dxa"/>
          </w:tcPr>
          <w:p w:rsidR="00784DFD" w:rsidRDefault="00D61A55">
            <w:pPr>
              <w:jc w:val="center"/>
            </w:pPr>
            <w:r>
              <w:rPr>
                <w:i/>
                <w:iCs/>
                <w:color w:val="595959"/>
                <w:sz w:val="14"/>
                <w:szCs w:val="14"/>
              </w:rPr>
              <w:t>Schema único, limpo, regularizado</w:t>
            </w:r>
          </w:p>
        </w:tc>
        <w:tc>
          <w:tcPr>
            <w:tcW w:w="300" w:type="dxa"/>
          </w:tcPr>
          <w:p w:rsidR="00784DFD" w:rsidRDefault="00784DFD"/>
        </w:tc>
        <w:tc>
          <w:tcPr>
            <w:tcW w:w="1700" w:type="dxa"/>
          </w:tcPr>
          <w:p w:rsidR="00784DFD" w:rsidRDefault="00D61A55">
            <w:pPr>
              <w:jc w:val="center"/>
            </w:pPr>
            <w:r>
              <w:rPr>
                <w:i/>
                <w:iCs/>
                <w:color w:val="595959"/>
                <w:sz w:val="14"/>
                <w:szCs w:val="14"/>
              </w:rPr>
              <w:t>Agregações por trecho/ano-mês</w:t>
            </w:r>
          </w:p>
        </w:tc>
        <w:tc>
          <w:tcPr>
            <w:tcW w:w="300" w:type="dxa"/>
          </w:tcPr>
          <w:p w:rsidR="00784DFD" w:rsidRDefault="00784DFD"/>
        </w:tc>
        <w:tc>
          <w:tcPr>
            <w:tcW w:w="1726" w:type="dxa"/>
          </w:tcPr>
          <w:p w:rsidR="00784DFD" w:rsidRDefault="00D61A55">
            <w:pPr>
              <w:jc w:val="center"/>
            </w:pPr>
            <w:r>
              <w:rPr>
                <w:i/>
                <w:iCs/>
                <w:color w:val="595959"/>
                <w:sz w:val="14"/>
                <w:szCs w:val="14"/>
              </w:rPr>
              <w:t>ML, ABM, dashboard, PDFs, stakeholders</w:t>
            </w:r>
          </w:p>
        </w:tc>
      </w:tr>
    </w:tbl>
    <w:p w:rsidR="00784DFD" w:rsidRDefault="00784DFD">
      <w:pPr>
        <w:spacing w:after="300"/>
      </w:pPr>
    </w:p>
    <w:p w:rsidR="00784DFD" w:rsidRDefault="00D61A55" w:rsidP="005E7A51">
      <w:pPr>
        <w:spacing w:after="200" w:line="300" w:lineRule="auto"/>
        <w:jc w:val="both"/>
      </w:pPr>
      <w:r>
        <w:t>As quatro seções seguintes (2 a 5) detalham, nessa ordem, cada estágio desse fluxo; a Seção 6 explica a tecnologia de armazenamento comum às três cam</w:t>
      </w:r>
      <w:r>
        <w:t>adas; a Seção 7 explica quando e como o pipeline roda (orquestração); a Seção 8 explica quem recebe o dado final e como; e as Seções 9-10 cobrem qualidade/testes e limitações conhecidas.</w:t>
      </w:r>
    </w:p>
    <w:p w:rsidR="00784DFD" w:rsidRDefault="00D61A55" w:rsidP="005E7A51">
      <w:pPr>
        <w:jc w:val="both"/>
      </w:pPr>
      <w:r>
        <w:br w:type="page"/>
      </w:r>
    </w:p>
    <w:p w:rsidR="00784DFD" w:rsidRDefault="00D61A55">
      <w:pPr>
        <w:pStyle w:val="Heading1"/>
      </w:pPr>
      <w:r>
        <w:lastRenderedPageBreak/>
        <w:t>2. Coleta: de onde os dados vêm e como chegam ao pipeline</w:t>
      </w:r>
    </w:p>
    <w:p w:rsidR="00784DFD" w:rsidRDefault="00D61A55" w:rsidP="005E7A51">
      <w:pPr>
        <w:spacing w:after="200" w:line="300" w:lineRule="auto"/>
        <w:jc w:val="both"/>
      </w:pPr>
      <w:r>
        <w:t>O pipeline coleta dado de três modalidades técnicas diferentes, cada uma com um mecanismo de acesso próprio. Essa distinção importa porque determina a confiabilidade, a frequência de atualização e o tratamento de erro de cada fonte.</w:t>
      </w:r>
    </w:p>
    <w:p w:rsidR="00784DFD" w:rsidRDefault="00D61A55" w:rsidP="005E7A51">
      <w:pPr>
        <w:pStyle w:val="Heading2"/>
        <w:jc w:val="both"/>
      </w:pPr>
      <w:r>
        <w:t>2.1 Fontes estáticas lo</w:t>
      </w:r>
      <w:r>
        <w:t>cais (arquivos em disco)</w:t>
      </w:r>
    </w:p>
    <w:p w:rsidR="00784DFD" w:rsidRDefault="00D61A55" w:rsidP="005E7A51">
      <w:pPr>
        <w:spacing w:after="200" w:line="300" w:lineRule="auto"/>
        <w:jc w:val="both"/>
      </w:pPr>
      <w:r>
        <w:t>São planilhas .xlsx já disponíveis no diretório do projeto, sem chamada de rede — a forma mais simples e mais confiável de coleta, mas que exige atualização manual do arquivo quando a fonte publica um novo export.</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69"/>
        <w:gridCol w:w="5172"/>
        <w:gridCol w:w="1485"/>
      </w:tblGrid>
      <w:tr w:rsidR="00784DFD">
        <w:tblPrEx>
          <w:tblCellMar>
            <w:top w:w="0" w:type="dxa"/>
            <w:bottom w:w="0" w:type="dxa"/>
          </w:tblCellMar>
        </w:tblPrEx>
        <w:trPr>
          <w:tblHeader/>
        </w:trPr>
        <w:tc>
          <w:tcPr>
            <w:tcW w:w="26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Fonte</w:t>
            </w:r>
          </w:p>
        </w:tc>
        <w:tc>
          <w:tcPr>
            <w:tcW w:w="48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 xml:space="preserve">Formato de </w:t>
            </w:r>
            <w:r>
              <w:rPr>
                <w:b/>
                <w:bCs/>
                <w:color w:val="FFFFFF"/>
                <w:sz w:val="20"/>
                <w:szCs w:val="20"/>
              </w:rPr>
              <w:t>origem</w:t>
            </w:r>
          </w:p>
        </w:tc>
        <w:tc>
          <w:tcPr>
            <w:tcW w:w="1626" w:type="dxa"/>
            <w:shd w:val="clear" w:color="auto" w:fill="1F4E5F"/>
            <w:tcMar>
              <w:top w:w="100" w:type="dxa"/>
              <w:left w:w="120" w:type="dxa"/>
              <w:bottom w:w="100" w:type="dxa"/>
              <w:right w:w="120" w:type="dxa"/>
            </w:tcMar>
            <w:vAlign w:val="center"/>
          </w:tcPr>
          <w:p w:rsidR="00784DFD" w:rsidRDefault="00D61A55">
            <w:r>
              <w:rPr>
                <w:b/>
                <w:bCs/>
                <w:color w:val="FFFFFF"/>
                <w:sz w:val="20"/>
                <w:szCs w:val="20"/>
              </w:rPr>
              <w:t>Volume</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Vazão (DAEE)</w:t>
            </w:r>
          </w:p>
        </w:tc>
        <w:tc>
          <w:tcPr>
            <w:tcW w:w="48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1 arquivo .xlsx por posto fluviométrico (ALTO/MEDIO/BAIXO TIETE_FLUV/), cabeçalho de metadados + tabela de eventos de medição</w:t>
            </w:r>
          </w:p>
        </w:tc>
        <w:tc>
          <w:tcPr>
            <w:tcW w:w="16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Dezenas de arquivos por trecho</w:t>
            </w:r>
          </w:p>
        </w:tc>
      </w:tr>
      <w:tr w:rsidR="00784DFD">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Chuva (DAEE)</w:t>
            </w:r>
          </w:p>
        </w:tc>
        <w:tc>
          <w:tcPr>
            <w:tcW w:w="48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1 arquivo .xlsx por posto pluviométrico, matriz Ano × Mês</w:t>
            </w:r>
          </w:p>
        </w:tc>
        <w:tc>
          <w:tcPr>
            <w:tcW w:w="16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Dezenas de arquivos por trecho</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Estações</w:t>
            </w:r>
          </w:p>
        </w:tc>
        <w:tc>
          <w:tcPr>
            <w:tcW w:w="48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cod_latlong.xlsx — cadastro de 699 estações estaduais</w:t>
            </w:r>
          </w:p>
        </w:tc>
        <w:tc>
          <w:tcPr>
            <w:tcW w:w="16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1 arquivo</w:t>
            </w:r>
          </w:p>
        </w:tc>
      </w:tr>
      <w:tr w:rsidR="00784DFD">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Qualidade da água consolidada (CETESB)</w:t>
            </w:r>
          </w:p>
        </w:tc>
        <w:tc>
          <w:tcPr>
            <w:tcW w:w="48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base_de_dados_pontos.xlsx — 3 abas por período</w:t>
            </w:r>
          </w:p>
        </w:tc>
        <w:tc>
          <w:tcPr>
            <w:tcW w:w="16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147 MB, 699 pontos, ~2,4 milhões de medições (1978-2024)</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Solo/sedimentos histórico</w:t>
            </w:r>
          </w:p>
        </w:tc>
        <w:tc>
          <w:tcPr>
            <w:tcW w:w="48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Planilha_Historica_Solo_Sedimentos_Rio_Tiete_1940_2025.xlsx (proxy simulado)</w:t>
            </w:r>
          </w:p>
        </w:tc>
        <w:tc>
          <w:tcPr>
            <w:tcW w:w="16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1 arquivo</w:t>
            </w:r>
          </w:p>
        </w:tc>
      </w:tr>
      <w:tr w:rsidR="00784DFD">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Sensoriamento remoto ilustrativo</w:t>
            </w:r>
          </w:p>
        </w:tc>
        <w:tc>
          <w:tcPr>
            <w:tcW w:w="48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Sensoriamento_Remoto_Rio_Tiete.xlsx (planilha demonstrativa, 2026)</w:t>
            </w:r>
          </w:p>
        </w:tc>
        <w:tc>
          <w:tcPr>
            <w:tcW w:w="16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14 linhas</w:t>
            </w:r>
          </w:p>
        </w:tc>
      </w:tr>
    </w:tbl>
    <w:p w:rsidR="00784DFD" w:rsidRDefault="00D61A55">
      <w:pPr>
        <w:pStyle w:val="Heading2"/>
      </w:pPr>
      <w:r>
        <w:t>2.2 Conectores ao vivo (APIs públicas)</w:t>
      </w:r>
    </w:p>
    <w:p w:rsidR="00784DFD" w:rsidRDefault="00D61A55" w:rsidP="005E7A51">
      <w:pPr>
        <w:spacing w:after="200" w:line="300" w:lineRule="auto"/>
        <w:jc w:val="both"/>
      </w:pPr>
      <w:r>
        <w:t>São chamadas HTTP a serviços públicos, acionadas a cada rodada do pipeline para buscar apenas registros novos desde a última execução — o mecanismo que mantém a base atualizada sem reprocessar arquivos manualmente.</w:t>
      </w:r>
    </w:p>
    <w:p w:rsidR="00784DFD" w:rsidRDefault="00D61A55" w:rsidP="005E7A51">
      <w:pPr>
        <w:pStyle w:val="ListParagraph"/>
        <w:numPr>
          <w:ilvl w:val="0"/>
          <w:numId w:val="1"/>
        </w:numPr>
        <w:spacing w:after="120" w:line="280" w:lineRule="auto"/>
        <w:jc w:val="both"/>
      </w:pPr>
      <w:r>
        <w:rPr>
          <w:b/>
          <w:bCs/>
        </w:rPr>
        <w:t>AN</w:t>
      </w:r>
      <w:r>
        <w:rPr>
          <w:b/>
          <w:bCs/>
        </w:rPr>
        <w:t xml:space="preserve">A/SNIRH (real, em produção): </w:t>
      </w:r>
      <w:r>
        <w:t>connectors/ana_snirh.py chama a API pública telemetriaws1.ana.gov.br/ServiceANA.asmx (sem necessidade de chave), busca vazão e chuva por estação e devolve os dados já no schema "consolidado" que o Bronze DAEE usa. O backfill in</w:t>
      </w:r>
      <w:r>
        <w:t>icial (2000-2026) trouxe +1.762 linhas de vazão e +6.355 de chuva, todas validadas contra o contorno geográfico da bacia do Tietê.</w:t>
      </w:r>
    </w:p>
    <w:p w:rsidR="00784DFD" w:rsidRDefault="00D61A55" w:rsidP="005E7A51">
      <w:pPr>
        <w:pStyle w:val="ListParagraph"/>
        <w:numPr>
          <w:ilvl w:val="0"/>
          <w:numId w:val="1"/>
        </w:numPr>
        <w:spacing w:after="120" w:line="280" w:lineRule="auto"/>
        <w:jc w:val="both"/>
      </w:pPr>
      <w:r>
        <w:rPr>
          <w:b/>
          <w:bCs/>
        </w:rPr>
        <w:t xml:space="preserve">CETESB incremental (pendente, decisão documentada): </w:t>
      </w:r>
      <w:r>
        <w:t>connectors/cetesb.py permanece NotImplementedError deliberadamente — a CETESB não expõe hoje uma rota HTTP parametrizável para boletins publicados após 2024 (só visualização/download via portal web). O job mensal trata isso como esperado, sem falhar (ver S</w:t>
      </w:r>
      <w:r>
        <w:t>eção 7.4).</w:t>
      </w:r>
    </w:p>
    <w:p w:rsidR="00784DFD" w:rsidRDefault="00D61A55">
      <w:pPr>
        <w:pStyle w:val="Heading2"/>
      </w:pPr>
      <w:r>
        <w:lastRenderedPageBreak/>
        <w:t>2.3 Conectores via serviço de geoprocessamento/clima (satélite e reanálise)</w:t>
      </w:r>
    </w:p>
    <w:p w:rsidR="00784DFD" w:rsidRDefault="00D61A55" w:rsidP="005E7A51">
      <w:pPr>
        <w:spacing w:after="200" w:line="300" w:lineRule="auto"/>
        <w:jc w:val="both"/>
      </w:pPr>
      <w:r>
        <w:t>Uma terceira modalidade: bibliotecas cliente de plataformas de processamento em nuvem, que devolvem dado já processado a partir de imagens de satélite ou de modelos clim</w:t>
      </w:r>
      <w:r>
        <w:t>áticos globais — a fonte de sensoriamento remoto do projeto.</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328"/>
        <w:gridCol w:w="2373"/>
        <w:gridCol w:w="3325"/>
      </w:tblGrid>
      <w:tr w:rsidR="00784DFD">
        <w:tblPrEx>
          <w:tblCellMar>
            <w:top w:w="0" w:type="dxa"/>
            <w:bottom w:w="0" w:type="dxa"/>
          </w:tblCellMar>
        </w:tblPrEx>
        <w:trPr>
          <w:tblHeader/>
        </w:trPr>
        <w:tc>
          <w:tcPr>
            <w:tcW w:w="28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Conector</w:t>
            </w:r>
          </w:p>
        </w:tc>
        <w:tc>
          <w:tcPr>
            <w:tcW w:w="26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Serviço</w:t>
            </w:r>
          </w:p>
        </w:tc>
        <w:tc>
          <w:tcPr>
            <w:tcW w:w="3626" w:type="dxa"/>
            <w:shd w:val="clear" w:color="auto" w:fill="1F4E5F"/>
            <w:tcMar>
              <w:top w:w="100" w:type="dxa"/>
              <w:left w:w="120" w:type="dxa"/>
              <w:bottom w:w="100" w:type="dxa"/>
              <w:right w:w="120" w:type="dxa"/>
            </w:tcMar>
            <w:vAlign w:val="center"/>
          </w:tcPr>
          <w:p w:rsidR="00784DFD" w:rsidRDefault="00D61A55">
            <w:r>
              <w:rPr>
                <w:b/>
                <w:bCs/>
                <w:color w:val="FFFFFF"/>
                <w:sz w:val="20"/>
                <w:szCs w:val="20"/>
              </w:rPr>
              <w:t>O que extrai</w:t>
            </w:r>
          </w:p>
        </w:tc>
      </w:tr>
      <w:tr w:rsidR="00784DFD">
        <w:tblPrEx>
          <w:tblCellMar>
            <w:top w:w="0" w:type="dxa"/>
            <w:bottom w:w="0" w:type="dxa"/>
          </w:tblCellMar>
        </w:tblPrEx>
        <w:tc>
          <w:tcPr>
            <w:tcW w:w="28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connectors/mapbiomas.py</w:t>
            </w:r>
          </w:p>
        </w:tc>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Google Earth Engine</w:t>
            </w:r>
          </w:p>
        </w:tc>
        <w:tc>
          <w:tcPr>
            <w:tcW w:w="36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Uso do solo real (MapBiomas Coleção 9, 1985-2023) por trecho — percentual de área por classe (natural, agropecuária, urbano/industrial, água)</w:t>
            </w:r>
          </w:p>
        </w:tc>
      </w:tr>
      <w:tr w:rsidR="00784DFD">
        <w:tblPrEx>
          <w:tblCellMar>
            <w:top w:w="0" w:type="dxa"/>
            <w:bottom w:w="0" w:type="dxa"/>
          </w:tblCellMar>
        </w:tblPrEx>
        <w:tc>
          <w:tcPr>
            <w:tcW w:w="28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connectors/sensoriamento_historico.py</w:t>
            </w:r>
          </w:p>
        </w:tc>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Google Earth Engine (Landsat Collection 2)</w:t>
            </w:r>
          </w:p>
        </w:tc>
        <w:tc>
          <w:tcPr>
            <w:tcW w:w="36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NDVI, temperatura de superfície e proxy espectral de turbidez (NDTI), por ponto de monitoramento, 1984-presente</w:t>
            </w:r>
          </w:p>
        </w:tc>
      </w:tr>
      <w:tr w:rsidR="00784DFD">
        <w:tblPrEx>
          <w:tblCellMar>
            <w:top w:w="0" w:type="dxa"/>
            <w:bottom w:w="0" w:type="dxa"/>
          </w:tblCellMar>
        </w:tblPrEx>
        <w:tc>
          <w:tcPr>
            <w:tcW w:w="28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connectors/era5_cmip6.py</w:t>
            </w:r>
          </w:p>
        </w:tc>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Copernicus Climate Data Store</w:t>
            </w:r>
          </w:p>
        </w:tc>
        <w:tc>
          <w:tcPr>
            <w:tcW w:w="36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Reanálise histórica ERA5 e projeções futuras CMIP6 por cenário — usado para calibrar o fator de clima do modelo baseado em agentes, não como preditora direta do ML</w:t>
            </w:r>
          </w:p>
        </w:tc>
      </w:tr>
    </w:tbl>
    <w:p w:rsidR="00784DFD" w:rsidRDefault="00D61A55" w:rsidP="005E7A51">
      <w:pPr>
        <w:spacing w:after="200" w:line="300" w:lineRule="auto"/>
        <w:jc w:val="both"/>
      </w:pPr>
      <w:r>
        <w:t>Esses três exigem credencial pessoal do operador (earthengine authenticate / token da CDS) configurada uma única vez por máquina — sem isso, o pipeline levanta um erro claro em vez de falhar silenciosamente (ver config.py, variáveis WATERWEAVE_EE_PROJECT e</w:t>
      </w:r>
      <w:r>
        <w:t xml:space="preserve"> WATERWEAVE_CDS_API_KEY).</w:t>
      </w:r>
    </w:p>
    <w:p w:rsidR="00784DFD" w:rsidRDefault="00D61A55">
      <w:r>
        <w:br w:type="page"/>
      </w:r>
    </w:p>
    <w:p w:rsidR="00784DFD" w:rsidRDefault="00D61A55">
      <w:pPr>
        <w:pStyle w:val="Heading1"/>
      </w:pPr>
      <w:r>
        <w:lastRenderedPageBreak/>
        <w:t>3. Processamento — Camada Bronze: ingestão bruta com proveniência</w:t>
      </w:r>
    </w:p>
    <w:p w:rsidR="00784DFD" w:rsidRDefault="00D61A55" w:rsidP="005E7A51">
      <w:pPr>
        <w:spacing w:after="200" w:line="300" w:lineRule="auto"/>
        <w:jc w:val="both"/>
      </w:pPr>
      <w:r>
        <w:t>A Bronze é o primeiro ponto de contato do pipeline com os dados coletados na Seção 2. A regra de ouro desta camada é: espelhar a fonte fielmente, sem aplicar nenh</w:t>
      </w:r>
      <w:r>
        <w:t>uma regra de negócio — apenas ler o arquivo/API bruto, dar nomes de coluna estáveis, e registrar de onde cada linha veio.</w:t>
      </w:r>
    </w:p>
    <w:p w:rsidR="00784DFD" w:rsidRDefault="00D61A55" w:rsidP="005E7A51">
      <w:pPr>
        <w:pStyle w:val="Heading2"/>
        <w:jc w:val="both"/>
      </w:pPr>
      <w:r>
        <w:t>3.1 Como um arquivo bruto é interpretado — exemplo DAEE</w:t>
      </w:r>
    </w:p>
    <w:p w:rsidR="00784DFD" w:rsidRDefault="00D61A55" w:rsidP="005E7A51">
      <w:pPr>
        <w:spacing w:after="200" w:line="300" w:lineRule="auto"/>
        <w:jc w:val="both"/>
      </w:pPr>
      <w:r>
        <w:t>Cada módulo bronze_*.py conhece o formato específico de uma fonte. O exemplo m</w:t>
      </w:r>
      <w:r>
        <w:t xml:space="preserve">ais ilustrativo é a vazão DAEE (ingestion/bronze_daee_fluviometria.py): as primeiras 7 linhas do arquivo são um cabeçalho de metadados do posto (nome, rio, latitude/longitude em formato GMS, data de instalação), lido célula a célula porque a posição exata </w:t>
      </w:r>
      <w:r>
        <w:t>varia de arquivo para arquivo; a partir da linha 8, uma tabela de eventos de medição (não um passo de tempo regular — a regularização mensal só acontece na Silver). O parser também reconhece um segundo formato, "consolidado", já em granularidade mensal, us</w:t>
      </w:r>
      <w:r>
        <w:t>ado por alguns exports mais recentes.</w:t>
      </w:r>
    </w:p>
    <w:p w:rsidR="00784DFD" w:rsidRDefault="00D61A55" w:rsidP="005E7A51">
      <w:pPr>
        <w:pStyle w:val="Heading2"/>
        <w:jc w:val="both"/>
      </w:pPr>
      <w:r>
        <w:t>3.2 Proveniência: nunca perder de vista de onde o dado veio</w:t>
      </w:r>
    </w:p>
    <w:p w:rsidR="00784DFD" w:rsidRDefault="00D61A55" w:rsidP="005E7A51">
      <w:pPr>
        <w:spacing w:after="200" w:line="300" w:lineRule="auto"/>
        <w:jc w:val="both"/>
      </w:pPr>
      <w:r>
        <w:t>Toda linha gravada em qualquer tabela Bronze recebe três colunas técnicas, geradas por ingestion/_daee_common.py (e o padrão equivalente nos demais módulos br</w:t>
      </w:r>
      <w:r>
        <w:t>onze_*):</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50"/>
        <w:gridCol w:w="6776"/>
      </w:tblGrid>
      <w:tr w:rsidR="00784DFD">
        <w:tblPrEx>
          <w:tblCellMar>
            <w:top w:w="0" w:type="dxa"/>
            <w:bottom w:w="0" w:type="dxa"/>
          </w:tblCellMar>
        </w:tblPrEx>
        <w:trPr>
          <w:tblHeader/>
        </w:trPr>
        <w:tc>
          <w:tcPr>
            <w:tcW w:w="22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Coluna</w:t>
            </w:r>
          </w:p>
        </w:tc>
        <w:tc>
          <w:tcPr>
            <w:tcW w:w="6626" w:type="dxa"/>
            <w:shd w:val="clear" w:color="auto" w:fill="1F4E5F"/>
            <w:tcMar>
              <w:top w:w="100" w:type="dxa"/>
              <w:left w:w="120" w:type="dxa"/>
              <w:bottom w:w="100" w:type="dxa"/>
              <w:right w:w="120" w:type="dxa"/>
            </w:tcMar>
            <w:vAlign w:val="center"/>
          </w:tcPr>
          <w:p w:rsidR="00784DFD" w:rsidRDefault="00D61A55">
            <w:r>
              <w:rPr>
                <w:b/>
                <w:bCs/>
                <w:color w:val="FFFFFF"/>
                <w:sz w:val="20"/>
                <w:szCs w:val="20"/>
              </w:rPr>
              <w:t>Conteúdo</w:t>
            </w:r>
          </w:p>
        </w:tc>
      </w:tr>
      <w:tr w:rsidR="00784DFD">
        <w:tblPrEx>
          <w:tblCellMar>
            <w:top w:w="0" w:type="dxa"/>
            <w:bottom w:w="0" w:type="dxa"/>
          </w:tblCellMar>
        </w:tblPrEx>
        <w:tc>
          <w:tcPr>
            <w:tcW w:w="22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_ingested_at</w:t>
            </w:r>
          </w:p>
        </w:tc>
        <w:tc>
          <w:tcPr>
            <w:tcW w:w="66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Timestamp de quando a linha foi lida pelo pipeline</w:t>
            </w:r>
          </w:p>
        </w:tc>
      </w:tr>
      <w:tr w:rsidR="00784DFD">
        <w:tblPrEx>
          <w:tblCellMar>
            <w:top w:w="0" w:type="dxa"/>
            <w:bottom w:w="0" w:type="dxa"/>
          </w:tblCellMar>
        </w:tblPrEx>
        <w:tc>
          <w:tcPr>
            <w:tcW w:w="22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_source_file</w:t>
            </w:r>
          </w:p>
        </w:tc>
        <w:tc>
          <w:tcPr>
            <w:tcW w:w="66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Nome do arquivo de origem exato daquela linha</w:t>
            </w:r>
          </w:p>
        </w:tc>
      </w:tr>
      <w:tr w:rsidR="00784DFD">
        <w:tblPrEx>
          <w:tblCellMar>
            <w:top w:w="0" w:type="dxa"/>
            <w:bottom w:w="0" w:type="dxa"/>
          </w:tblCellMar>
        </w:tblPrEx>
        <w:tc>
          <w:tcPr>
            <w:tcW w:w="22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_fonte_tipo</w:t>
            </w:r>
          </w:p>
        </w:tc>
        <w:tc>
          <w:tcPr>
            <w:tcW w:w="66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"observado" (medição real) ou "simulado" (proxy sintético) — propagada até a Gold, para que nenhum modelo trate dado sintético como medição de campo sem saber disso</w:t>
            </w:r>
          </w:p>
        </w:tc>
      </w:tr>
    </w:tbl>
    <w:p w:rsidR="00784DFD" w:rsidRDefault="00D61A55">
      <w:pPr>
        <w:pStyle w:val="Heading2"/>
      </w:pPr>
      <w:r>
        <w:t>3.3 Duas estratégias de escrita: reprocessamento total vs. anexação incremental</w:t>
      </w:r>
    </w:p>
    <w:p w:rsidR="00784DFD" w:rsidRDefault="00D61A55" w:rsidP="005E7A51">
      <w:pPr>
        <w:spacing w:after="200" w:line="300" w:lineRule="auto"/>
        <w:jc w:val="both"/>
      </w:pPr>
      <w:r>
        <w:t>A gravação (io_</w:t>
      </w:r>
      <w:proofErr w:type="gramStart"/>
      <w:r>
        <w:t>delta.write</w:t>
      </w:r>
      <w:proofErr w:type="gramEnd"/>
      <w:r>
        <w:t>_table, Seção 6) usa dois modos, conforme o tipo de fonte:</w:t>
      </w:r>
    </w:p>
    <w:p w:rsidR="00784DFD" w:rsidRDefault="00D61A55" w:rsidP="005E7A51">
      <w:pPr>
        <w:pStyle w:val="ListParagraph"/>
        <w:numPr>
          <w:ilvl w:val="0"/>
          <w:numId w:val="1"/>
        </w:numPr>
        <w:spacing w:after="120" w:line="280" w:lineRule="auto"/>
        <w:jc w:val="both"/>
      </w:pPr>
      <w:r>
        <w:rPr>
          <w:b/>
          <w:bCs/>
        </w:rPr>
        <w:t xml:space="preserve">Rescan completo (mode="overwrite"): </w:t>
      </w:r>
      <w:r>
        <w:t>para as fontes estáticas locais (Seção 2.1) — a cada rodada mensal, o arquivo inteiro é relido e a tabela Bronze é substituída por comp</w:t>
      </w:r>
      <w:r>
        <w:t>leto. Simples e seguro (sem risco de duplicar linha), viável porque mesmo a maior fonte (CETESB, ~2,4 milhões de linhas) ainda cabe nesse regime numa única máquina.</w:t>
      </w:r>
    </w:p>
    <w:p w:rsidR="00784DFD" w:rsidRDefault="00D61A55" w:rsidP="005E7A51">
      <w:pPr>
        <w:pStyle w:val="ListParagraph"/>
        <w:numPr>
          <w:ilvl w:val="0"/>
          <w:numId w:val="1"/>
        </w:numPr>
        <w:spacing w:after="120" w:line="280" w:lineRule="auto"/>
        <w:jc w:val="both"/>
      </w:pPr>
      <w:r>
        <w:rPr>
          <w:b/>
          <w:bCs/>
        </w:rPr>
        <w:t xml:space="preserve">Anexação incremental (mode="append"): </w:t>
      </w:r>
      <w:r>
        <w:t>para o conector ANA/SNIRH — só os registros novos des</w:t>
      </w:r>
      <w:r>
        <w:t>de a última execução bem-sucedida são buscados e anexados à tabela Bronze existente, evitando refazer o backfill completo todo mês.</w:t>
      </w:r>
    </w:p>
    <w:p w:rsidR="00784DFD" w:rsidRDefault="00D61A55" w:rsidP="005E7A51">
      <w:pPr>
        <w:jc w:val="both"/>
      </w:pPr>
      <w:r>
        <w:br w:type="page"/>
      </w:r>
    </w:p>
    <w:p w:rsidR="00784DFD" w:rsidRDefault="00D61A55">
      <w:pPr>
        <w:pStyle w:val="Heading1"/>
      </w:pPr>
      <w:r>
        <w:lastRenderedPageBreak/>
        <w:t>4. Processamento — Camada Silver: limpeza e padronização</w:t>
      </w:r>
    </w:p>
    <w:p w:rsidR="00784DFD" w:rsidRDefault="00D61A55" w:rsidP="005E7A51">
      <w:pPr>
        <w:spacing w:after="200" w:line="300" w:lineRule="auto"/>
        <w:jc w:val="both"/>
      </w:pPr>
      <w:r>
        <w:t>A Silver transforma o espelho bruto da Bronze num schema único, l</w:t>
      </w:r>
      <w:r>
        <w:t>impo e consistente, na granularidade de posto ou trecho — ainda não agregado para consumo direto por modelo ou dashboard (isso é papel da Gold), mas já confiável e comparável entre fontes diferentes.</w:t>
      </w:r>
    </w:p>
    <w:p w:rsidR="00784DFD" w:rsidRDefault="00D61A55" w:rsidP="005E7A51">
      <w:pPr>
        <w:pStyle w:val="Heading3"/>
        <w:jc w:val="both"/>
      </w:pPr>
      <w:r>
        <w:t>O que acontece nessa transformação (exemplo: transform/s</w:t>
      </w:r>
      <w:r>
        <w:t>ilver_hidrologia.py)</w:t>
      </w:r>
    </w:p>
    <w:p w:rsidR="00784DFD" w:rsidRDefault="00D61A55" w:rsidP="005E7A51">
      <w:pPr>
        <w:pStyle w:val="ListParagraph"/>
        <w:numPr>
          <w:ilvl w:val="0"/>
          <w:numId w:val="1"/>
        </w:numPr>
        <w:spacing w:after="120" w:line="280" w:lineRule="auto"/>
        <w:jc w:val="both"/>
      </w:pPr>
      <w:r>
        <w:rPr>
          <w:b/>
          <w:bCs/>
        </w:rPr>
        <w:t xml:space="preserve">Regularização temporal: </w:t>
      </w:r>
      <w:r>
        <w:t>medições de vazão em eventos irregulares (várias por mês, em datas distintas) viram uma média mensal por posto — a mesma granularidade usada por toda a Gold a partir daqui.</w:t>
      </w:r>
    </w:p>
    <w:p w:rsidR="00784DFD" w:rsidRDefault="00D61A55" w:rsidP="005E7A51">
      <w:pPr>
        <w:pStyle w:val="ListParagraph"/>
        <w:numPr>
          <w:ilvl w:val="0"/>
          <w:numId w:val="1"/>
        </w:numPr>
        <w:spacing w:after="120" w:line="280" w:lineRule="auto"/>
        <w:jc w:val="both"/>
      </w:pPr>
      <w:r>
        <w:rPr>
          <w:b/>
          <w:bCs/>
        </w:rPr>
        <w:t xml:space="preserve">Conversão de coordenadas: </w:t>
      </w:r>
      <w:r>
        <w:t>latitude/lon</w:t>
      </w:r>
      <w:r>
        <w:t>gitude em formato GMS ("23G31M35S") são convertidas para grau decimal, assumindo hemisfério sul/oeste (todo o projeto está no Estado de São Paulo).</w:t>
      </w:r>
    </w:p>
    <w:p w:rsidR="00784DFD" w:rsidRDefault="00D61A55" w:rsidP="005E7A51">
      <w:pPr>
        <w:pStyle w:val="ListParagraph"/>
        <w:numPr>
          <w:ilvl w:val="0"/>
          <w:numId w:val="1"/>
        </w:numPr>
        <w:spacing w:after="120" w:line="280" w:lineRule="auto"/>
        <w:jc w:val="both"/>
      </w:pPr>
      <w:r>
        <w:rPr>
          <w:b/>
          <w:bCs/>
        </w:rPr>
        <w:t xml:space="preserve">Deduplicação por média, não por escolha arbitrária: </w:t>
      </w:r>
      <w:r>
        <w:t>quando dois arquivos reemitem o mesmo posto/período, a Silver calcula a média entre eles em vez de simplesmente descartar um — preserva informação de ambos.</w:t>
      </w:r>
    </w:p>
    <w:p w:rsidR="00784DFD" w:rsidRDefault="00D61A55" w:rsidP="005E7A51">
      <w:pPr>
        <w:pStyle w:val="ListParagraph"/>
        <w:numPr>
          <w:ilvl w:val="0"/>
          <w:numId w:val="1"/>
        </w:numPr>
        <w:spacing w:after="120" w:line="280" w:lineRule="auto"/>
        <w:jc w:val="both"/>
      </w:pPr>
      <w:r>
        <w:rPr>
          <w:b/>
          <w:bCs/>
        </w:rPr>
        <w:t xml:space="preserve">Fusão real-com-fallback-simulado: </w:t>
      </w:r>
      <w:r>
        <w:t>para qualidade da água e sensoriamento remoto, a Silver (via tran</w:t>
      </w:r>
      <w:r>
        <w:t>sform/gold_features.py) prioriza sempre a medição real (CETESB, Landsat) e só usa a série simulada/ilustrativa para preencher anos sem cobertura real — nunca o contrário.</w:t>
      </w:r>
    </w:p>
    <w:p w:rsidR="00784DFD" w:rsidRDefault="00D61A55" w:rsidP="005E7A51">
      <w:pPr>
        <w:pStyle w:val="ListParagraph"/>
        <w:numPr>
          <w:ilvl w:val="0"/>
          <w:numId w:val="1"/>
        </w:numPr>
        <w:spacing w:after="120" w:line="280" w:lineRule="auto"/>
        <w:jc w:val="both"/>
      </w:pPr>
      <w:r>
        <w:rPr>
          <w:b/>
          <w:bCs/>
        </w:rPr>
        <w:t xml:space="preserve">Correção de correspondência falsa não feita à força: </w:t>
      </w:r>
      <w:r>
        <w:t>postos fluviométricos e pluviomé</w:t>
      </w:r>
      <w:r>
        <w:t>tricos são redes físicas diferentes — a Silver produz vazao_mensal e chuva_mensal como duas tabelas separadas, evitando um cruzamento por posto que criaria uma relação inexistente; o cruzamento legítimo só acontece na Gold, agregado por trecho.</w:t>
      </w:r>
    </w:p>
    <w:p w:rsidR="00784DFD" w:rsidRDefault="00D61A55">
      <w:pPr>
        <w:pStyle w:val="Heading3"/>
      </w:pPr>
      <w:r>
        <w:t>Tabelas Silver produzidas</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513"/>
        <w:gridCol w:w="4513"/>
      </w:tblGrid>
      <w:tr w:rsidR="00784DFD">
        <w:tblPrEx>
          <w:tblCellMar>
            <w:top w:w="0" w:type="dxa"/>
            <w:bottom w:w="0" w:type="dxa"/>
          </w:tblCellMar>
        </w:tblPrEx>
        <w:trPr>
          <w:tblHeader/>
        </w:trPr>
        <w:tc>
          <w:tcPr>
            <w:tcW w:w="4413" w:type="dxa"/>
            <w:shd w:val="clear" w:color="auto" w:fill="1F4E5F"/>
            <w:tcMar>
              <w:top w:w="100" w:type="dxa"/>
              <w:left w:w="120" w:type="dxa"/>
              <w:bottom w:w="100" w:type="dxa"/>
              <w:right w:w="120" w:type="dxa"/>
            </w:tcMar>
            <w:vAlign w:val="center"/>
          </w:tcPr>
          <w:p w:rsidR="00784DFD" w:rsidRDefault="00D61A55">
            <w:r>
              <w:rPr>
                <w:b/>
                <w:bCs/>
                <w:color w:val="FFFFFF"/>
                <w:sz w:val="20"/>
                <w:szCs w:val="20"/>
              </w:rPr>
              <w:t>Tabela</w:t>
            </w:r>
          </w:p>
        </w:tc>
        <w:tc>
          <w:tcPr>
            <w:tcW w:w="4413" w:type="dxa"/>
            <w:shd w:val="clear" w:color="auto" w:fill="1F4E5F"/>
            <w:tcMar>
              <w:top w:w="100" w:type="dxa"/>
              <w:left w:w="120" w:type="dxa"/>
              <w:bottom w:w="100" w:type="dxa"/>
              <w:right w:w="120" w:type="dxa"/>
            </w:tcMar>
            <w:vAlign w:val="center"/>
          </w:tcPr>
          <w:p w:rsidR="00784DFD" w:rsidRDefault="00D61A55">
            <w:r>
              <w:rPr>
                <w:b/>
                <w:bCs/>
                <w:color w:val="FFFFFF"/>
                <w:sz w:val="20"/>
                <w:szCs w:val="20"/>
              </w:rPr>
              <w:t>Granularidade</w:t>
            </w:r>
          </w:p>
        </w:tc>
      </w:tr>
      <w:tr w:rsidR="00784DFD">
        <w:tblPrEx>
          <w:tblCellMar>
            <w:top w:w="0" w:type="dxa"/>
            <w:bottom w:w="0" w:type="dxa"/>
          </w:tblCellMar>
        </w:tblPrEx>
        <w:tc>
          <w:tcPr>
            <w:tcW w:w="4413"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vazao_mensal / chuva_mensal</w:t>
            </w:r>
          </w:p>
        </w:tc>
        <w:tc>
          <w:tcPr>
            <w:tcW w:w="4413"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posto × ano × mês</w:t>
            </w:r>
          </w:p>
        </w:tc>
      </w:tr>
      <w:tr w:rsidR="00784DFD">
        <w:tblPrEx>
          <w:tblCellMar>
            <w:top w:w="0" w:type="dxa"/>
            <w:bottom w:w="0" w:type="dxa"/>
          </w:tblCellMar>
        </w:tblPrEx>
        <w:tc>
          <w:tcPr>
            <w:tcW w:w="4413"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estacoes</w:t>
            </w:r>
          </w:p>
        </w:tc>
        <w:tc>
          <w:tcPr>
            <w:tcW w:w="4413"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ponto (filtrado ao eixo do Tietê, de 699 para 32 estações)</w:t>
            </w:r>
          </w:p>
        </w:tc>
      </w:tr>
      <w:tr w:rsidR="00784DFD">
        <w:tblPrEx>
          <w:tblCellMar>
            <w:top w:w="0" w:type="dxa"/>
            <w:bottom w:w="0" w:type="dxa"/>
          </w:tblCellMar>
        </w:tblPrEx>
        <w:tc>
          <w:tcPr>
            <w:tcW w:w="4413"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qualidade / qualidade_cetesb</w:t>
            </w:r>
          </w:p>
        </w:tc>
        <w:tc>
          <w:tcPr>
            <w:tcW w:w="4413"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trecho × ano</w:t>
            </w:r>
          </w:p>
        </w:tc>
      </w:tr>
      <w:tr w:rsidR="00784DFD">
        <w:tblPrEx>
          <w:tblCellMar>
            <w:top w:w="0" w:type="dxa"/>
            <w:bottom w:w="0" w:type="dxa"/>
          </w:tblCellMar>
        </w:tblPrEx>
        <w:tc>
          <w:tcPr>
            <w:tcW w:w="4413"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sensoriamento / sensoriamento_historico</w:t>
            </w:r>
          </w:p>
        </w:tc>
        <w:tc>
          <w:tcPr>
            <w:tcW w:w="4413"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ponto × data de coleta</w:t>
            </w:r>
          </w:p>
        </w:tc>
      </w:tr>
      <w:tr w:rsidR="00784DFD">
        <w:tblPrEx>
          <w:tblCellMar>
            <w:top w:w="0" w:type="dxa"/>
            <w:bottom w:w="0" w:type="dxa"/>
          </w:tblCellMar>
        </w:tblPrEx>
        <w:tc>
          <w:tcPr>
            <w:tcW w:w="4413"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uso_solo</w:t>
            </w:r>
          </w:p>
        </w:tc>
        <w:tc>
          <w:tcPr>
            <w:tcW w:w="4413"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trecho × ano</w:t>
            </w:r>
          </w:p>
        </w:tc>
      </w:tr>
    </w:tbl>
    <w:p w:rsidR="00784DFD" w:rsidRDefault="00D61A55">
      <w:r>
        <w:br w:type="page"/>
      </w:r>
    </w:p>
    <w:p w:rsidR="00784DFD" w:rsidRDefault="00D61A55">
      <w:pPr>
        <w:pStyle w:val="Heading1"/>
      </w:pPr>
      <w:r>
        <w:lastRenderedPageBreak/>
        <w:t>5. Processamento — Camada Gold: a base analítica final</w:t>
      </w:r>
    </w:p>
    <w:p w:rsidR="00784DFD" w:rsidRDefault="00D61A55" w:rsidP="005E7A51">
      <w:pPr>
        <w:spacing w:after="200" w:line="300" w:lineRule="auto"/>
        <w:jc w:val="both"/>
      </w:pPr>
      <w:r>
        <w:t>A Gold (transform/gold_features.py) é a camada que efetivamente alimenta os modelos e o dashboard — agrega vazão, chuva, qualidade da água, uso do solo e sensoriamento remoto por trecho, na granularidade que cada consumidor precisa (mensal para o dashboard</w:t>
      </w:r>
      <w:r>
        <w:t>, anual para o ML).</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90"/>
        <w:gridCol w:w="1820"/>
        <w:gridCol w:w="4116"/>
      </w:tblGrid>
      <w:tr w:rsidR="00784DFD" w:rsidTr="005E7A51">
        <w:tblPrEx>
          <w:tblCellMar>
            <w:top w:w="0" w:type="dxa"/>
            <w:bottom w:w="0" w:type="dxa"/>
          </w:tblCellMar>
        </w:tblPrEx>
        <w:trPr>
          <w:tblHeader/>
        </w:trPr>
        <w:tc>
          <w:tcPr>
            <w:tcW w:w="3090" w:type="dxa"/>
            <w:shd w:val="clear" w:color="auto" w:fill="1F4E5F"/>
            <w:tcMar>
              <w:top w:w="100" w:type="dxa"/>
              <w:left w:w="120" w:type="dxa"/>
              <w:bottom w:w="100" w:type="dxa"/>
              <w:right w:w="120" w:type="dxa"/>
            </w:tcMar>
            <w:vAlign w:val="center"/>
          </w:tcPr>
          <w:p w:rsidR="00784DFD" w:rsidRDefault="00D61A55">
            <w:r>
              <w:rPr>
                <w:b/>
                <w:bCs/>
                <w:color w:val="FFFFFF"/>
                <w:sz w:val="20"/>
                <w:szCs w:val="20"/>
              </w:rPr>
              <w:t>Tabela Gold</w:t>
            </w:r>
          </w:p>
        </w:tc>
        <w:tc>
          <w:tcPr>
            <w:tcW w:w="1820" w:type="dxa"/>
            <w:shd w:val="clear" w:color="auto" w:fill="1F4E5F"/>
            <w:tcMar>
              <w:top w:w="100" w:type="dxa"/>
              <w:left w:w="120" w:type="dxa"/>
              <w:bottom w:w="100" w:type="dxa"/>
              <w:right w:w="120" w:type="dxa"/>
            </w:tcMar>
            <w:vAlign w:val="center"/>
          </w:tcPr>
          <w:p w:rsidR="00784DFD" w:rsidRDefault="00D61A55">
            <w:r>
              <w:rPr>
                <w:b/>
                <w:bCs/>
                <w:color w:val="FFFFFF"/>
                <w:sz w:val="20"/>
                <w:szCs w:val="20"/>
              </w:rPr>
              <w:t>Granularidade</w:t>
            </w:r>
          </w:p>
        </w:tc>
        <w:tc>
          <w:tcPr>
            <w:tcW w:w="4116" w:type="dxa"/>
            <w:shd w:val="clear" w:color="auto" w:fill="1F4E5F"/>
            <w:tcMar>
              <w:top w:w="100" w:type="dxa"/>
              <w:left w:w="120" w:type="dxa"/>
              <w:bottom w:w="100" w:type="dxa"/>
              <w:right w:w="120" w:type="dxa"/>
            </w:tcMar>
            <w:vAlign w:val="center"/>
          </w:tcPr>
          <w:p w:rsidR="00784DFD" w:rsidRDefault="00D61A55">
            <w:r>
              <w:rPr>
                <w:b/>
                <w:bCs/>
                <w:color w:val="FFFFFF"/>
                <w:sz w:val="20"/>
                <w:szCs w:val="20"/>
              </w:rPr>
              <w:t>Para que serve</w:t>
            </w:r>
          </w:p>
        </w:tc>
      </w:tr>
      <w:tr w:rsidR="00784DFD" w:rsidTr="005E7A51">
        <w:tblPrEx>
          <w:tblCellMar>
            <w:top w:w="0" w:type="dxa"/>
            <w:bottom w:w="0" w:type="dxa"/>
          </w:tblCellMar>
        </w:tblPrEx>
        <w:tc>
          <w:tcPr>
            <w:tcW w:w="309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serie_temporal_trecho_mes</w:t>
            </w:r>
          </w:p>
        </w:tc>
        <w:tc>
          <w:tcPr>
            <w:tcW w:w="182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trecho × mês</w:t>
            </w:r>
          </w:p>
        </w:tc>
        <w:tc>
          <w:tcPr>
            <w:tcW w:w="411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Série completa (vazão, chuva, qualidade) consumida diretamente pelo dashboard</w:t>
            </w:r>
          </w:p>
        </w:tc>
      </w:tr>
      <w:tr w:rsidR="00784DFD" w:rsidTr="005E7A51">
        <w:tblPrEx>
          <w:tblCellMar>
            <w:top w:w="0" w:type="dxa"/>
            <w:bottom w:w="0" w:type="dxa"/>
          </w:tblCellMar>
        </w:tblPrEx>
        <w:tc>
          <w:tcPr>
            <w:tcW w:w="309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feature_store_ml_anual</w:t>
            </w:r>
          </w:p>
        </w:tc>
        <w:tc>
          <w:tcPr>
            <w:tcW w:w="182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trecho × ano</w:t>
            </w:r>
          </w:p>
        </w:tc>
        <w:tc>
          <w:tcPr>
            <w:tcW w:w="411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Fonte de treino atual dos modelos de ML — com lags/média móvel de IQA/OD e uso do solo real como preditora</w:t>
            </w:r>
          </w:p>
        </w:tc>
      </w:tr>
      <w:tr w:rsidR="00784DFD" w:rsidTr="005E7A51">
        <w:tblPrEx>
          <w:tblCellMar>
            <w:top w:w="0" w:type="dxa"/>
            <w:bottom w:w="0" w:type="dxa"/>
          </w:tblCellMar>
        </w:tblPrEx>
        <w:tc>
          <w:tcPr>
            <w:tcW w:w="309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feature_store_ml</w:t>
            </w:r>
          </w:p>
        </w:tc>
        <w:tc>
          <w:tcPr>
            <w:tcW w:w="182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trecho × mês</w:t>
            </w:r>
          </w:p>
        </w:tc>
        <w:tc>
          <w:tcPr>
            <w:tcW w:w="411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Versão mensal legada, mantida por compatibilidade</w:t>
            </w:r>
          </w:p>
        </w:tc>
      </w:tr>
      <w:tr w:rsidR="00784DFD" w:rsidTr="005E7A51">
        <w:tblPrEx>
          <w:tblCellMar>
            <w:top w:w="0" w:type="dxa"/>
            <w:bottom w:w="0" w:type="dxa"/>
          </w:tblCellMar>
        </w:tblPrEx>
        <w:tc>
          <w:tcPr>
            <w:tcW w:w="309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estado_inicial_abm</w:t>
            </w:r>
          </w:p>
        </w:tc>
        <w:tc>
          <w:tcPr>
            <w:tcW w:w="182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snapshot mais recente por trecho</w:t>
            </w:r>
          </w:p>
        </w:tc>
        <w:tc>
          <w:tcPr>
            <w:tcW w:w="411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Inicializa o modelo baseado em agentes a cada rodada de simulação</w:t>
            </w:r>
          </w:p>
        </w:tc>
      </w:tr>
      <w:tr w:rsidR="00784DFD" w:rsidTr="005E7A51">
        <w:tblPrEx>
          <w:tblCellMar>
            <w:top w:w="0" w:type="dxa"/>
            <w:bottom w:w="0" w:type="dxa"/>
          </w:tblCellMar>
        </w:tblPrEx>
        <w:tc>
          <w:tcPr>
            <w:tcW w:w="309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sensoriamento_trecho_ano</w:t>
            </w:r>
          </w:p>
        </w:tc>
        <w:tc>
          <w:tcPr>
            <w:tcW w:w="182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trecho × ano</w:t>
            </w:r>
          </w:p>
        </w:tc>
        <w:tc>
          <w:tcPr>
            <w:tcW w:w="411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Indicadores de satélite (NDVI, turbidez, clorofila-a, temperatura) — alimenta o mapa interativo, ainda fora do treino de ML</w:t>
            </w:r>
          </w:p>
        </w:tc>
      </w:tr>
      <w:tr w:rsidR="00784DFD" w:rsidTr="005E7A51">
        <w:tblPrEx>
          <w:tblCellMar>
            <w:top w:w="0" w:type="dxa"/>
            <w:bottom w:w="0" w:type="dxa"/>
          </w:tblCellMar>
        </w:tblPrEx>
        <w:tc>
          <w:tcPr>
            <w:tcW w:w="309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servicos_ecossistemicos_trecho_ano</w:t>
            </w:r>
          </w:p>
        </w:tc>
        <w:tc>
          <w:tcPr>
            <w:tcW w:w="182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trecho × ano</w:t>
            </w:r>
          </w:p>
        </w:tc>
        <w:tc>
          <w:tcPr>
            <w:tcW w:w="411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Regulação da qualidade da água e provisão hídrica, em fração 0-1, derivados de IQA/vazão</w:t>
            </w:r>
          </w:p>
        </w:tc>
      </w:tr>
    </w:tbl>
    <w:p w:rsidR="005E7A51" w:rsidRDefault="005E7A51"/>
    <w:p w:rsidR="005E7A51" w:rsidRPr="005E7A51" w:rsidRDefault="005E7A51" w:rsidP="005E7A51">
      <w:pPr>
        <w:spacing w:after="100"/>
        <w:jc w:val="both"/>
        <w:rPr>
          <w:sz w:val="24"/>
          <w:szCs w:val="24"/>
        </w:rPr>
      </w:pPr>
      <w:r w:rsidRPr="005E7A51">
        <w:rPr>
          <w:b/>
          <w:bCs/>
          <w:color w:val="1F4E5F"/>
          <w:sz w:val="24"/>
          <w:szCs w:val="24"/>
        </w:rPr>
        <w:t>Um princípio que atravessa as três camadas</w:t>
      </w:r>
    </w:p>
    <w:p w:rsidR="00784DFD" w:rsidRPr="005E7A51" w:rsidRDefault="005E7A51" w:rsidP="005E7A51">
      <w:pPr>
        <w:jc w:val="both"/>
        <w:rPr>
          <w:sz w:val="24"/>
          <w:szCs w:val="24"/>
        </w:rPr>
      </w:pPr>
      <w:r w:rsidRPr="005E7A51">
        <w:rPr>
          <w:sz w:val="24"/>
          <w:szCs w:val="24"/>
        </w:rPr>
        <w:t>A coluna fonte_tipo ("observado"/"simulado") nasce na Bronze e é propagada intacta até a Gold. Isso significa que qualquer consumidor final — dashboard, relatório em PDF, modelo de ML — pode, a qualquer momento, filtrar ou distinguir visualmente o que é medição real de campo do que é preenchimento sintético, em vez de tratar os dois como se fossem a mesma coisa.</w:t>
      </w:r>
      <w:r w:rsidR="00D61A55" w:rsidRPr="005E7A51">
        <w:rPr>
          <w:sz w:val="24"/>
          <w:szCs w:val="24"/>
        </w:rPr>
        <w:br w:type="page"/>
      </w:r>
    </w:p>
    <w:p w:rsidR="00784DFD" w:rsidRDefault="00D61A55">
      <w:pPr>
        <w:pStyle w:val="Heading1"/>
      </w:pPr>
      <w:r>
        <w:lastRenderedPageBreak/>
        <w:t>6. Armazenamento: como e onde os dados ficam persistidos</w:t>
      </w:r>
    </w:p>
    <w:p w:rsidR="00784DFD" w:rsidRDefault="00D61A55" w:rsidP="005E7A51">
      <w:pPr>
        <w:spacing w:after="200" w:line="300" w:lineRule="auto"/>
        <w:jc w:val="both"/>
      </w:pPr>
      <w:r>
        <w:t>As três camadas (Bronze, Silver, Gold) são fisicamente tabelas Delta Lake, gravadas em disco local sob data/bronze/, data/silver/ e data/gold/, através de um módulo único (io_delta.py) que centraliza toda leitura/escrita do pipeline.</w:t>
      </w:r>
    </w:p>
    <w:p w:rsidR="00784DFD" w:rsidRDefault="00D61A55" w:rsidP="005E7A51">
      <w:pPr>
        <w:pStyle w:val="Heading3"/>
        <w:jc w:val="both"/>
      </w:pPr>
      <w:r>
        <w:t>6.1 Por que Delta Lake</w:t>
      </w:r>
      <w:r>
        <w:t xml:space="preserve"> sem Spark</w:t>
      </w:r>
    </w:p>
    <w:p w:rsidR="00784DFD" w:rsidRDefault="00D61A55" w:rsidP="005E7A51">
      <w:pPr>
        <w:spacing w:after="200" w:line="300" w:lineRule="auto"/>
        <w:jc w:val="both"/>
      </w:pPr>
      <w:r>
        <w:t xml:space="preserve">O projeto usa a biblioteca deltalake (bindings Python do motor delta-rs, escrito em Rust) em vez do PySpark tradicional. O formato de tabela é o mesmo — log de transações ACID, evolução de schema controlada, particionamento no estilo Hive — mas </w:t>
      </w:r>
      <w:r>
        <w:t>sem exigir uma JVM ou um cluster Hadoop/Spark, o que torna viável rodar o pipeline inteiro numa única máquina Windows. Se o volume de dados algum dia justificar processamento distribuído, o mesmo diretório de tabelas pode ser lido por um cluster Spark real</w:t>
      </w:r>
      <w:r>
        <w:t xml:space="preserve"> (pyspark + delta-spark) sem qualquer migração de dado — é o mesmo formato em disco.</w:t>
      </w:r>
    </w:p>
    <w:p w:rsidR="00784DFD" w:rsidRDefault="00D61A55" w:rsidP="005E7A51">
      <w:pPr>
        <w:pStyle w:val="Heading3"/>
        <w:jc w:val="both"/>
      </w:pPr>
      <w:r>
        <w:t>6.2 Particionamento</w:t>
      </w:r>
    </w:p>
    <w:p w:rsidR="00784DFD" w:rsidRDefault="00D61A55" w:rsidP="005E7A51">
      <w:pPr>
        <w:spacing w:after="200" w:line="300" w:lineRule="auto"/>
        <w:jc w:val="both"/>
      </w:pPr>
      <w:r>
        <w:t>A maior parte das tabelas é particionada por trecho_id (Alto/Médio/Baixo Tietê) — write_</w:t>
      </w:r>
      <w:proofErr w:type="gramStart"/>
      <w:r>
        <w:t>deltalake(</w:t>
      </w:r>
      <w:proofErr w:type="gramEnd"/>
      <w:r>
        <w:t>..., partition_by=["trecho_id"]) —, o que permite a q</w:t>
      </w:r>
      <w:r>
        <w:t>ualquer consumidor ler apenas o trecho de interesse sem varrer a tabela inteira.</w:t>
      </w:r>
    </w:p>
    <w:p w:rsidR="00784DFD" w:rsidRDefault="00D61A55" w:rsidP="005E7A51">
      <w:pPr>
        <w:pStyle w:val="Heading3"/>
        <w:jc w:val="both"/>
      </w:pPr>
      <w:r>
        <w:t>6.3 Dois modos de escrita, o mesmo módulo</w:t>
      </w:r>
    </w:p>
    <w:p w:rsidR="00784DFD" w:rsidRDefault="00D61A55" w:rsidP="005E7A51">
      <w:pPr>
        <w:spacing w:after="200" w:line="300" w:lineRule="auto"/>
        <w:jc w:val="both"/>
      </w:pPr>
      <w:r>
        <w:t>io_</w:t>
      </w:r>
      <w:proofErr w:type="gramStart"/>
      <w:r>
        <w:t>delta.write</w:t>
      </w:r>
      <w:proofErr w:type="gramEnd"/>
      <w:r>
        <w:t>_table encapsula as duas estratégias já descritas na Seção 3.3: mode="overwrite" com schema_mode="overwrite" (permite q</w:t>
      </w:r>
      <w:r>
        <w:t>ue o schema evolua entre rodadas, já que a fonte é relida por inteiro) e mode="append" com schema_mode="merge" (permite unir colunas de fontes com schema levemente diferente, como o conector ANA anexado a um Bronze originalmente construído a partir de arqu</w:t>
      </w:r>
      <w:r>
        <w:t>ivos DAEE, sem forçar as duas fontes a terem exatamente as mesmas colunas).</w:t>
      </w:r>
    </w:p>
    <w:p w:rsidR="00784DFD" w:rsidRDefault="00D61A55">
      <w:pPr>
        <w:pStyle w:val="Heading3"/>
      </w:pPr>
      <w:r>
        <w:t>6.4 Outros artefatos persistidos fora das tabelas Delta</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54"/>
        <w:gridCol w:w="2719"/>
        <w:gridCol w:w="3753"/>
      </w:tblGrid>
      <w:tr w:rsidR="00784DFD">
        <w:tblPrEx>
          <w:tblCellMar>
            <w:top w:w="0" w:type="dxa"/>
            <w:bottom w:w="0" w:type="dxa"/>
          </w:tblCellMar>
        </w:tblPrEx>
        <w:trPr>
          <w:tblHeader/>
        </w:trPr>
        <w:tc>
          <w:tcPr>
            <w:tcW w:w="26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Artefato</w:t>
            </w:r>
          </w:p>
        </w:tc>
        <w:tc>
          <w:tcPr>
            <w:tcW w:w="26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Local</w:t>
            </w:r>
          </w:p>
        </w:tc>
        <w:tc>
          <w:tcPr>
            <w:tcW w:w="3826" w:type="dxa"/>
            <w:shd w:val="clear" w:color="auto" w:fill="1F4E5F"/>
            <w:tcMar>
              <w:top w:w="100" w:type="dxa"/>
              <w:left w:w="120" w:type="dxa"/>
              <w:bottom w:w="100" w:type="dxa"/>
              <w:right w:w="120" w:type="dxa"/>
            </w:tcMar>
            <w:vAlign w:val="center"/>
          </w:tcPr>
          <w:p w:rsidR="00784DFD" w:rsidRDefault="00D61A55">
            <w:r>
              <w:rPr>
                <w:b/>
                <w:bCs/>
                <w:color w:val="FFFFFF"/>
                <w:sz w:val="20"/>
                <w:szCs w:val="20"/>
              </w:rPr>
              <w:t>Por quê fora do Delta</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Modelos de ML treinados</w:t>
            </w:r>
          </w:p>
        </w:tc>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data/models/*.joblib</w:t>
            </w:r>
          </w:p>
        </w:tc>
        <w:tc>
          <w:tcPr>
            <w:tcW w:w="38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Objeto Python serializado (scikit-learn), não uma tabela</w:t>
            </w:r>
          </w:p>
        </w:tc>
      </w:tr>
      <w:tr w:rsidR="00784DFD">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Gráficos de SHAP</w:t>
            </w:r>
          </w:p>
        </w:tc>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data/models/shap/*.png</w:t>
            </w:r>
          </w:p>
        </w:tc>
        <w:tc>
          <w:tcPr>
            <w:tcW w:w="38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Imagem, consumida como arquivo, não como dado tabular</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Controle de execução do pipeline</w:t>
            </w:r>
          </w:p>
        </w:tc>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data/_pipeline_runs.json</w:t>
            </w:r>
          </w:p>
        </w:tc>
        <w:tc>
          <w:tcPr>
            <w:tcW w:w="38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Um único registro (data da última rodada bem-sucedida), não justifica uma tabela</w:t>
            </w:r>
          </w:p>
        </w:tc>
      </w:tr>
      <w:tr w:rsidR="00784DFD">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Fator de clima calibrado (CMIP6)</w:t>
            </w:r>
          </w:p>
        </w:tc>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data/fator_clima_cmip6.json</w:t>
            </w:r>
          </w:p>
        </w:tc>
        <w:tc>
          <w:tcPr>
            <w:tcW w:w="38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Resultado de calibração em lote, barato de regravar mas caro de recalcular</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Propostas de cenário (co-criação)</w:t>
            </w:r>
          </w:p>
        </w:tc>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data/cenarios_propostos/*.json</w:t>
            </w:r>
          </w:p>
        </w:tc>
        <w:tc>
          <w:tcPr>
            <w:tcW w:w="38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Conteúdo original de stakeholders — versionado no git, ao contrário do restante de data/, que é reprocessável a partir da fonte bruta</w:t>
            </w:r>
          </w:p>
        </w:tc>
      </w:tr>
    </w:tbl>
    <w:p w:rsidR="00784DFD" w:rsidRDefault="00D61A55">
      <w:r>
        <w:br w:type="page"/>
      </w:r>
    </w:p>
    <w:p w:rsidR="00784DFD" w:rsidRDefault="00D61A55">
      <w:pPr>
        <w:pStyle w:val="Heading1"/>
      </w:pPr>
      <w:r>
        <w:lastRenderedPageBreak/>
        <w:t>7. Orquestração: quando e como o pipeline roda</w:t>
      </w:r>
    </w:p>
    <w:p w:rsidR="00784DFD" w:rsidRDefault="00D61A55" w:rsidP="005E7A51">
      <w:pPr>
        <w:spacing w:after="200" w:line="300" w:lineRule="auto"/>
        <w:jc w:val="both"/>
      </w:pPr>
      <w:r>
        <w:t xml:space="preserve">Um único ponto de entrada (ingestion/monthly_job.py, função </w:t>
      </w:r>
      <w:proofErr w:type="gramStart"/>
      <w:r>
        <w:t>main(</w:t>
      </w:r>
      <w:proofErr w:type="gramEnd"/>
      <w:r>
        <w:t>)) executa o pipeline inteiro, do jeito descrito nas Seções 2 a 5, em uma ordem fixa de dependência.</w:t>
      </w:r>
    </w:p>
    <w:p w:rsidR="00784DFD" w:rsidRDefault="00D61A55" w:rsidP="005E7A51">
      <w:pPr>
        <w:pStyle w:val="Heading3"/>
        <w:jc w:val="both"/>
      </w:pPr>
      <w:r>
        <w:t>7.1 Ordem de execução</w:t>
      </w:r>
    </w:p>
    <w:p w:rsidR="00784DFD" w:rsidRDefault="00D61A55" w:rsidP="005E7A51">
      <w:pPr>
        <w:pStyle w:val="ListParagraph"/>
        <w:numPr>
          <w:ilvl w:val="0"/>
          <w:numId w:val="1"/>
        </w:numPr>
        <w:spacing w:after="120" w:line="280" w:lineRule="auto"/>
        <w:jc w:val="both"/>
      </w:pPr>
      <w:r>
        <w:rPr>
          <w:b/>
          <w:bCs/>
        </w:rPr>
        <w:t xml:space="preserve">1. Bronze estático: </w:t>
      </w:r>
      <w:r>
        <w:t>run_bronze_static_</w:t>
      </w:r>
      <w:proofErr w:type="gramStart"/>
      <w:r>
        <w:t>sources(</w:t>
      </w:r>
      <w:proofErr w:type="gramEnd"/>
      <w:r>
        <w:t>) relê todas as fontes</w:t>
      </w:r>
      <w:r>
        <w:t xml:space="preserve"> locais em disco (DAEE, CETESB, uso do solo via Earth Engine, sensoriamento histórico via Earth Engine) — bronze_uso_solo roda depois de bronze_estacoes porque depende das coordenadas das estações já estarem gravadas.</w:t>
      </w:r>
    </w:p>
    <w:p w:rsidR="00784DFD" w:rsidRDefault="00D61A55" w:rsidP="005E7A51">
      <w:pPr>
        <w:pStyle w:val="ListParagraph"/>
        <w:numPr>
          <w:ilvl w:val="0"/>
          <w:numId w:val="1"/>
        </w:numPr>
        <w:spacing w:after="120" w:line="280" w:lineRule="auto"/>
        <w:jc w:val="both"/>
      </w:pPr>
      <w:r>
        <w:rPr>
          <w:b/>
          <w:bCs/>
        </w:rPr>
        <w:t xml:space="preserve">2. Conectores ao vivo: </w:t>
      </w:r>
      <w:r>
        <w:t>run_live_</w:t>
      </w:r>
      <w:proofErr w:type="gramStart"/>
      <w:r>
        <w:t>connec</w:t>
      </w:r>
      <w:r>
        <w:t>tors(</w:t>
      </w:r>
      <w:proofErr w:type="gramEnd"/>
      <w:r>
        <w:t>since=...) busca só os registros novos desde a última execução bem-sucedida — ANA/SNIRH real, e um conector CETESB que hoje é NotImplementedError intencional (Seção 2.2), tratado como esperado.</w:t>
      </w:r>
    </w:p>
    <w:p w:rsidR="00784DFD" w:rsidRDefault="00D61A55" w:rsidP="005E7A51">
      <w:pPr>
        <w:pStyle w:val="ListParagraph"/>
        <w:numPr>
          <w:ilvl w:val="0"/>
          <w:numId w:val="1"/>
        </w:numPr>
        <w:spacing w:after="120" w:line="280" w:lineRule="auto"/>
        <w:jc w:val="both"/>
      </w:pPr>
      <w:r>
        <w:rPr>
          <w:b/>
          <w:bCs/>
        </w:rPr>
        <w:t xml:space="preserve">3. Silver e Gold: </w:t>
      </w:r>
      <w:r>
        <w:t>run_silver_gold_</w:t>
      </w:r>
      <w:proofErr w:type="gramStart"/>
      <w:r>
        <w:t>refresh(</w:t>
      </w:r>
      <w:proofErr w:type="gramEnd"/>
      <w:r>
        <w:t>) recomputa tod</w:t>
      </w:r>
      <w:r>
        <w:t>as as tabelas Silver e depois todas as tabelas Gold, por inteiro, a partir da Bronze atualizada — custo aceitável no volume atual de dados; reprocessamento incremental por trecho é uma otimização futura, não uma correção pendente.</w:t>
      </w:r>
    </w:p>
    <w:p w:rsidR="00784DFD" w:rsidRDefault="00D61A55" w:rsidP="005E7A51">
      <w:pPr>
        <w:pStyle w:val="Heading3"/>
        <w:jc w:val="both"/>
      </w:pPr>
      <w:r>
        <w:t xml:space="preserve">7.2 Controle de execução </w:t>
      </w:r>
      <w:r>
        <w:t>incremental</w:t>
      </w:r>
    </w:p>
    <w:p w:rsidR="00784DFD" w:rsidRDefault="00D61A55" w:rsidP="005E7A51">
      <w:pPr>
        <w:spacing w:after="200" w:line="300" w:lineRule="auto"/>
        <w:jc w:val="both"/>
      </w:pPr>
      <w:r>
        <w:t>A data da última rodada bem-sucedida fica registrada em data/_pipeline_runs.json (get_last_successful_run/_set_last_successful_run). É essa data que diz ao conector ANA/SNIRH a partir de quando buscar registros novos — na ausência desse arquivo</w:t>
      </w:r>
      <w:r>
        <w:t xml:space="preserve"> (checkout novo do repositório), o pipeline assume 1940-01-01 e faz um backfill completo.</w:t>
      </w:r>
    </w:p>
    <w:p w:rsidR="00784DFD" w:rsidRDefault="00D61A55" w:rsidP="005E7A51">
      <w:pPr>
        <w:pStyle w:val="Heading3"/>
        <w:jc w:val="both"/>
      </w:pPr>
      <w:r>
        <w:t>7.3 Agendamento — Airflow</w:t>
      </w:r>
    </w:p>
    <w:p w:rsidR="00784DFD" w:rsidRDefault="00D61A55" w:rsidP="005E7A51">
      <w:pPr>
        <w:spacing w:after="200" w:line="300" w:lineRule="auto"/>
        <w:jc w:val="both"/>
      </w:pPr>
      <w:r>
        <w:t>orchestration/airflow_dags/tiete_monthly_pipeline.py define um DAG (tiete_monthly_pipeline) com agendamento @monthly, disparando monthly_</w:t>
      </w:r>
      <w:proofErr w:type="gramStart"/>
      <w:r>
        <w:t>job.main</w:t>
      </w:r>
      <w:proofErr w:type="gramEnd"/>
      <w:r>
        <w:t>() como uma única tarefa Python. A recomendação documentada é rodar no primeiro dia útil de cada mês, dando tem</w:t>
      </w:r>
      <w:r>
        <w:t>po para ANA, DAEE e CETESB publicarem os dados do mês anterior. A sequência conceitual descrita para o DAG é ingestão → atualização de Silver/Gold → re-treino do modelo de ML (trimestral) → notificação; a versão atual do código já executa as duas primeiras</w:t>
      </w:r>
      <w:r>
        <w:t xml:space="preserve"> etapas como uma tarefa única (ingest_bronze_and_refresh_gold) — o re-treino trimestral e a notificação automática ainda não estão conectados como tarefas separadas do DAG.</w:t>
      </w:r>
    </w:p>
    <w:p w:rsidR="00784DFD" w:rsidRDefault="00D61A55" w:rsidP="005E7A51">
      <w:pPr>
        <w:pStyle w:val="Heading3"/>
        <w:jc w:val="both"/>
      </w:pPr>
      <w:r>
        <w:t>7.4 Tolerância a falha</w:t>
      </w:r>
    </w:p>
    <w:p w:rsidR="00784DFD" w:rsidRDefault="00D61A55" w:rsidP="005E7A51">
      <w:pPr>
        <w:spacing w:after="200" w:line="300" w:lineRule="auto"/>
        <w:jc w:val="both"/>
      </w:pPr>
      <w:r>
        <w:t>Cada conector ao vivo roda dentro de um try/except dedicado:</w:t>
      </w:r>
      <w:r>
        <w:t xml:space="preserve"> se a API da ANA cair, o job registra um aviso e </w:t>
      </w:r>
      <w:proofErr w:type="gramStart"/>
      <w:r>
        <w:t>segue</w:t>
      </w:r>
      <w:proofErr w:type="gramEnd"/>
      <w:r>
        <w:t xml:space="preserve"> sem esses dados (não derruba a rodada inteira); se o conector CETESB levantar NotImplementedError, isso é tratado como um caso esperado (log informativo), não um erro. Esse comportamento tem um teste d</w:t>
      </w:r>
      <w:r>
        <w:t>e guarda dedicado (tests/test_cetesb_connector.py) que trava as duas metades dessa decisão: a mensagem de erro certa e o skip gracioso.</w:t>
      </w:r>
    </w:p>
    <w:p w:rsidR="00784DFD" w:rsidRDefault="00D61A55">
      <w:r>
        <w:br w:type="page"/>
      </w:r>
    </w:p>
    <w:p w:rsidR="00784DFD" w:rsidRDefault="00D61A55">
      <w:pPr>
        <w:pStyle w:val="Heading1"/>
      </w:pPr>
      <w:r>
        <w:lastRenderedPageBreak/>
        <w:t>8. Entrega: quem recebe o dado final, e como</w:t>
      </w:r>
    </w:p>
    <w:p w:rsidR="00784DFD" w:rsidRDefault="00D61A55" w:rsidP="005E7A51">
      <w:pPr>
        <w:spacing w:after="200" w:line="300" w:lineRule="auto"/>
        <w:jc w:val="both"/>
      </w:pPr>
      <w:r>
        <w:t>A Gold é o único ponto de leitura para todo consumidor a jusante — nenhuma aplicação ou modelo lê mais os arquivos .xlsx brutos diretamente (essa era uma prática antiga do projeto, já substituída). A partir daqui, o mesmo dado se ramifica em cinco destinos</w:t>
      </w:r>
      <w:r>
        <w:t xml:space="preserve"> diferentes.</w:t>
      </w:r>
    </w:p>
    <w:p w:rsidR="00784DFD" w:rsidRDefault="00D61A55" w:rsidP="005E7A51">
      <w:pPr>
        <w:pStyle w:val="Heading2"/>
        <w:jc w:val="both"/>
      </w:pPr>
      <w:r>
        <w:t>8.1 Modelos de Machine Learning</w:t>
      </w:r>
    </w:p>
    <w:p w:rsidR="00784DFD" w:rsidRDefault="00D61A55" w:rsidP="005E7A51">
      <w:pPr>
        <w:spacing w:after="200" w:line="300" w:lineRule="auto"/>
        <w:jc w:val="both"/>
      </w:pPr>
      <w:r>
        <w:t xml:space="preserve">models/ml/train.py lê </w:t>
      </w:r>
      <w:proofErr w:type="gramStart"/>
      <w:r>
        <w:t>gold.feature</w:t>
      </w:r>
      <w:proofErr w:type="gramEnd"/>
      <w:r>
        <w:t>_store_ml_anual, treina um RandomForestRegressor por trecho/alvo e grava o resultado em data/models/*.joblib. models/ml/predict_iqa.py carrega esses modelos e a mesma tabela Gol</w:t>
      </w:r>
      <w:r>
        <w:t>d para gerar previsões multi-anos, consumidas pelo dashboard. models/ml/shap_analysis.py lê os modelos treinados e grava gráficos de interpretabilidade em data/models/shap/.</w:t>
      </w:r>
    </w:p>
    <w:p w:rsidR="00784DFD" w:rsidRDefault="00D61A55" w:rsidP="005E7A51">
      <w:pPr>
        <w:pStyle w:val="Heading2"/>
        <w:jc w:val="both"/>
      </w:pPr>
      <w:r>
        <w:t>8.2 Modelo biofísico e modelo baseado em agentes (ABM)</w:t>
      </w:r>
    </w:p>
    <w:p w:rsidR="00784DFD" w:rsidRDefault="00D61A55" w:rsidP="005E7A51">
      <w:pPr>
        <w:spacing w:after="200" w:line="300" w:lineRule="auto"/>
        <w:jc w:val="both"/>
      </w:pPr>
      <w:r>
        <w:t xml:space="preserve">models/abm/scenarios.py lê </w:t>
      </w:r>
      <w:proofErr w:type="gramStart"/>
      <w:r>
        <w:t>gold.estado</w:t>
      </w:r>
      <w:proofErr w:type="gramEnd"/>
      <w:r>
        <w:t>_inicial_abm para inicializar cada rodada de simulação (5 agentes por trecho: Comitê de Bacia, Indústria, Agricultor, Concessionária, Poder Público) e models/hybrid_bridge.py acopla o resultado ao cálculo biofísico (balanço hídrico + Streeter-Ph</w:t>
      </w:r>
      <w:r>
        <w:t>elps). O módulo comparacao_biofisico_ml.py cruza essa simulação com a previsão estatística do ML para o mesmo trecho/horizonte.</w:t>
      </w:r>
    </w:p>
    <w:p w:rsidR="00784DFD" w:rsidRDefault="00D61A55" w:rsidP="005E7A51">
      <w:pPr>
        <w:pStyle w:val="Heading2"/>
        <w:jc w:val="both"/>
      </w:pPr>
      <w:r>
        <w:t>8.3 Dashboard Streamlit — entrega a pessoas</w:t>
      </w:r>
    </w:p>
    <w:p w:rsidR="00784DFD" w:rsidRDefault="00D61A55" w:rsidP="005E7A51">
      <w:pPr>
        <w:spacing w:after="200" w:line="300" w:lineRule="auto"/>
        <w:jc w:val="both"/>
      </w:pPr>
      <w:r>
        <w:t>webapp/data_loader.py é a única porta de entrada de dado para a interface: lê Silver</w:t>
      </w:r>
      <w:r>
        <w:t>/Gold com io_</w:t>
      </w:r>
      <w:proofErr w:type="gramStart"/>
      <w:r>
        <w:t>delta.read</w:t>
      </w:r>
      <w:proofErr w:type="gramEnd"/>
      <w:r>
        <w:t>_table, aplicando cache de 1 hora (st.cache_data(ttl=3600)) para não reler o disco a cada interação do usuário. Cinco páginas consomem esses dados:</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426"/>
      </w:tblGrid>
      <w:tr w:rsidR="00784DFD">
        <w:tblPrEx>
          <w:tblCellMar>
            <w:top w:w="0" w:type="dxa"/>
            <w:bottom w:w="0" w:type="dxa"/>
          </w:tblCellMar>
        </w:tblPrEx>
        <w:trPr>
          <w:tblHeader/>
        </w:trPr>
        <w:tc>
          <w:tcPr>
            <w:tcW w:w="2600" w:type="dxa"/>
            <w:shd w:val="clear" w:color="auto" w:fill="1F4E5F"/>
            <w:tcMar>
              <w:top w:w="100" w:type="dxa"/>
              <w:left w:w="120" w:type="dxa"/>
              <w:bottom w:w="100" w:type="dxa"/>
              <w:right w:w="120" w:type="dxa"/>
            </w:tcMar>
            <w:vAlign w:val="center"/>
          </w:tcPr>
          <w:p w:rsidR="00784DFD" w:rsidRDefault="00D61A55">
            <w:r>
              <w:rPr>
                <w:b/>
                <w:bCs/>
                <w:color w:val="FFFFFF"/>
                <w:sz w:val="20"/>
                <w:szCs w:val="20"/>
              </w:rPr>
              <w:t>Página</w:t>
            </w:r>
          </w:p>
        </w:tc>
        <w:tc>
          <w:tcPr>
            <w:tcW w:w="6426" w:type="dxa"/>
            <w:shd w:val="clear" w:color="auto" w:fill="1F4E5F"/>
            <w:tcMar>
              <w:top w:w="100" w:type="dxa"/>
              <w:left w:w="120" w:type="dxa"/>
              <w:bottom w:w="100" w:type="dxa"/>
              <w:right w:w="120" w:type="dxa"/>
            </w:tcMar>
            <w:vAlign w:val="center"/>
          </w:tcPr>
          <w:p w:rsidR="00784DFD" w:rsidRDefault="00D61A55">
            <w:r>
              <w:rPr>
                <w:b/>
                <w:bCs/>
                <w:color w:val="FFFFFF"/>
                <w:sz w:val="20"/>
                <w:szCs w:val="20"/>
              </w:rPr>
              <w:t>O que exibe</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1 — Mapa Interativo</w:t>
            </w:r>
          </w:p>
        </w:tc>
        <w:tc>
          <w:tcPr>
            <w:tcW w:w="64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Estações e indicadores de sensoriamento remoto ao longo do eixo do rio</w:t>
            </w:r>
          </w:p>
        </w:tc>
      </w:tr>
      <w:tr w:rsidR="00784DFD">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2 — Séries Históricas</w:t>
            </w:r>
          </w:p>
        </w:tc>
        <w:tc>
          <w:tcPr>
            <w:tcW w:w="64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Vazão, chuva e qualidade da água por trecho, ao longo do tempo</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3 — Comparativo de Cenários</w:t>
            </w:r>
          </w:p>
        </w:tc>
        <w:tc>
          <w:tcPr>
            <w:tcW w:w="64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Resultado do modelo baseado em agentes sob diferentes políticas</w:t>
            </w:r>
          </w:p>
        </w:tc>
      </w:tr>
      <w:tr w:rsidR="00784DFD">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4 — Relatório Automático</w:t>
            </w:r>
          </w:p>
        </w:tc>
        <w:tc>
          <w:tcPr>
            <w:tcW w:w="6426" w:type="dxa"/>
            <w:shd w:val="clear" w:color="auto" w:fill="F2F6F7"/>
            <w:tcMar>
              <w:top w:w="90" w:type="dxa"/>
              <w:left w:w="120" w:type="dxa"/>
              <w:bottom w:w="90" w:type="dxa"/>
              <w:right w:w="120" w:type="dxa"/>
            </w:tcMar>
            <w:vAlign w:val="center"/>
          </w:tcPr>
          <w:p w:rsidR="00784DFD" w:rsidRDefault="00D61A55">
            <w:pPr>
              <w:spacing w:line="260" w:lineRule="auto"/>
            </w:pPr>
            <w:r>
              <w:rPr>
                <w:sz w:val="19"/>
                <w:szCs w:val="19"/>
              </w:rPr>
              <w:t>Narrativa textual gerada a partir de silver.qualidade, exportável em PDF</w:t>
            </w:r>
          </w:p>
        </w:tc>
      </w:tr>
      <w:tr w:rsidR="00784DFD">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5 — Cenários Futuros</w:t>
            </w:r>
          </w:p>
        </w:tc>
        <w:tc>
          <w:tcPr>
            <w:tcW w:w="6426" w:type="dxa"/>
            <w:shd w:val="clear" w:color="auto" w:fill="FFFFFF"/>
            <w:tcMar>
              <w:top w:w="90" w:type="dxa"/>
              <w:left w:w="120" w:type="dxa"/>
              <w:bottom w:w="90" w:type="dxa"/>
              <w:right w:w="120" w:type="dxa"/>
            </w:tcMar>
            <w:vAlign w:val="center"/>
          </w:tcPr>
          <w:p w:rsidR="00784DFD" w:rsidRDefault="00D61A55">
            <w:pPr>
              <w:spacing w:line="260" w:lineRule="auto"/>
            </w:pPr>
            <w:r>
              <w:rPr>
                <w:sz w:val="19"/>
                <w:szCs w:val="19"/>
              </w:rPr>
              <w:t>Simulação interativa, serviços ecossistêmicos, validação cruzada ML×biofísico e propostas da comunidade</w:t>
            </w:r>
          </w:p>
        </w:tc>
      </w:tr>
    </w:tbl>
    <w:p w:rsidR="00784DFD" w:rsidRDefault="00D61A55">
      <w:pPr>
        <w:pStyle w:val="Heading2"/>
      </w:pPr>
      <w:r>
        <w:t xml:space="preserve">8.4 Relatórios em PDF — entrega formal </w:t>
      </w:r>
      <w:proofErr w:type="gramStart"/>
      <w:r>
        <w:t>a stakeholders</w:t>
      </w:r>
      <w:proofErr w:type="gramEnd"/>
    </w:p>
    <w:p w:rsidR="00784DFD" w:rsidRDefault="00D61A55" w:rsidP="005E7A51">
      <w:pPr>
        <w:spacing w:after="200" w:line="300" w:lineRule="auto"/>
        <w:jc w:val="both"/>
      </w:pPr>
      <w:r>
        <w:t>reports/pdf_generator.py exporta os relatórios textuais (reports/narrative_generator.py e reports/cenario_narrativo.py) em dois formatos: um resumido (cabeçalho, objetivo, resultados principais) e um co</w:t>
      </w:r>
      <w:r>
        <w:t>mpleto, seguindo a norma ABNT NBR 10719 (capa, sumário, introdução, metodologia, resultados e discussão, conclusão, referências). Usa fpdf2 (sem dependência de binário externo como wkhtmltopdf/Chromium), o que mantém o build do Streamlit Community Cloud le</w:t>
      </w:r>
      <w:r>
        <w:t>ve.</w:t>
      </w:r>
    </w:p>
    <w:p w:rsidR="00784DFD" w:rsidRDefault="00D61A55">
      <w:pPr>
        <w:pStyle w:val="Heading2"/>
      </w:pPr>
      <w:r>
        <w:lastRenderedPageBreak/>
        <w:t>8.5 Co-criação com stakeholders — o único fluxo de escrita de volta ao pipeline</w:t>
      </w:r>
    </w:p>
    <w:p w:rsidR="00784DFD" w:rsidRDefault="00D61A55" w:rsidP="005E7A51">
      <w:pPr>
        <w:spacing w:after="200" w:line="300" w:lineRule="auto"/>
        <w:jc w:val="both"/>
      </w:pPr>
      <w:r>
        <w:t>models/abm/scenario_store.py é o único ponto em que uma pessoa (gestor, tomador de decisão, representante de comunidade) grava dado de volta no sistema: uma proposta de cen</w:t>
      </w:r>
      <w:r>
        <w:t>ário nomeada (autor, justificativa, parâmetros) fica persistida em data/cenarios_propostos/*.json — versionada no controle de código, diferente do restante de data/, justamente porque é conteúdo original que não pode ser reconstruído a partir de nenhuma fo</w:t>
      </w:r>
      <w:r>
        <w:t>nte bruta.</w:t>
      </w:r>
    </w:p>
    <w:p w:rsidR="00784DFD" w:rsidRDefault="00D61A55">
      <w:r>
        <w:br w:type="page"/>
      </w:r>
      <w:bookmarkStart w:id="0" w:name="_GoBack"/>
      <w:bookmarkEnd w:id="0"/>
    </w:p>
    <w:p w:rsidR="00784DFD" w:rsidRDefault="00D61A55">
      <w:pPr>
        <w:pStyle w:val="Heading1"/>
      </w:pPr>
      <w:r>
        <w:lastRenderedPageBreak/>
        <w:t>9. Qualidade, testes e auditoria do pipeline</w:t>
      </w:r>
    </w:p>
    <w:p w:rsidR="00784DFD" w:rsidRDefault="00D61A55" w:rsidP="005E7A51">
      <w:pPr>
        <w:spacing w:after="200" w:line="300" w:lineRule="auto"/>
        <w:jc w:val="both"/>
      </w:pPr>
      <w:r>
        <w:t>O pipeline tem um teste de guarda dedicado à sua própria integridade estrutural: tests/test_pipeline_paridade.py verifica que toda fonte declarada em config.RAW_SOURCES tem, de fato, um módulo bronz</w:t>
      </w:r>
      <w:r>
        <w:t>e_*.py que a lê — a classe exata de erro que uma auditoria de engenharia de dados encontrou em julho de 2026 (a base de 2,4 milhões de medições da CETESB estava "configurada", mas nunca era efetivamente lida pelo job mensal, ver docs/Auditoria_Engenharia_D</w:t>
      </w:r>
      <w:r>
        <w:t>ados_WaterWeave_Tiete.docx). Esse tipo de teste transforma uma lacuna silenciosa de coleta em uma falha explícita de CI, antes que chegue a produção.</w:t>
      </w:r>
    </w:p>
    <w:p w:rsidR="00784DFD" w:rsidRDefault="00D61A55" w:rsidP="005E7A51">
      <w:pPr>
        <w:spacing w:after="200" w:line="300" w:lineRule="auto"/>
        <w:jc w:val="both"/>
      </w:pPr>
      <w:r>
        <w:t>A suíte de testes completa (pytest tests/) roda automaticamente a cada push/PR para a branch principal via</w:t>
      </w:r>
      <w:r>
        <w:t xml:space="preserve"> GitHub Actions (.github/workflows/tests.yml), cobrindo tanto esse gap de ingestão quanto os achados da auditoria de ML (granularidade sem vazamento, separação real/simulado, ausência de vazamento temporal — ver o relatório de Machine Learning para o detal</w:t>
      </w:r>
      <w:r>
        <w:t>he dessa parte).</w:t>
      </w:r>
    </w:p>
    <w:p w:rsidR="00784DFD" w:rsidRDefault="00D61A55">
      <w:pPr>
        <w:pStyle w:val="Heading1"/>
      </w:pPr>
      <w:r>
        <w:t>10. Limitações reconhecidas</w:t>
      </w:r>
    </w:p>
    <w:p w:rsidR="00784DFD" w:rsidRDefault="00D61A55" w:rsidP="005E7A51">
      <w:pPr>
        <w:pStyle w:val="ListParagraph"/>
        <w:numPr>
          <w:ilvl w:val="0"/>
          <w:numId w:val="1"/>
        </w:numPr>
        <w:spacing w:after="120" w:line="280" w:lineRule="auto"/>
        <w:jc w:val="both"/>
      </w:pPr>
      <w:r>
        <w:rPr>
          <w:b/>
          <w:bCs/>
        </w:rPr>
        <w:t xml:space="preserve">Sem encadeamento hidrológico entre trechos: </w:t>
      </w:r>
      <w:r>
        <w:t>Alto, Médio e Baixo Tietê são processados de forma independente em toda a Gold — vazão e carga poluidora não são propagadas de montante para jusante.</w:t>
      </w:r>
    </w:p>
    <w:p w:rsidR="00784DFD" w:rsidRDefault="00D61A55" w:rsidP="005E7A51">
      <w:pPr>
        <w:pStyle w:val="ListParagraph"/>
        <w:numPr>
          <w:ilvl w:val="0"/>
          <w:numId w:val="1"/>
        </w:numPr>
        <w:spacing w:after="120" w:line="280" w:lineRule="auto"/>
        <w:jc w:val="both"/>
      </w:pPr>
      <w:r>
        <w:rPr>
          <w:b/>
          <w:bCs/>
        </w:rPr>
        <w:t>Reprocessamento t</w:t>
      </w:r>
      <w:r>
        <w:rPr>
          <w:b/>
          <w:bCs/>
        </w:rPr>
        <w:t xml:space="preserve">otal, não incremental, em Silver/Gold: </w:t>
      </w:r>
      <w:r>
        <w:t>cada rodada mensal recalcula as duas camadas inteiras a partir da Bronze — aceitável no volume atual, mas não escala indefinidamente sem otimização.</w:t>
      </w:r>
    </w:p>
    <w:p w:rsidR="00784DFD" w:rsidRDefault="00D61A55" w:rsidP="005E7A51">
      <w:pPr>
        <w:pStyle w:val="ListParagraph"/>
        <w:numPr>
          <w:ilvl w:val="0"/>
          <w:numId w:val="1"/>
        </w:numPr>
        <w:spacing w:after="120" w:line="280" w:lineRule="auto"/>
        <w:jc w:val="both"/>
      </w:pPr>
      <w:r>
        <w:rPr>
          <w:b/>
          <w:bCs/>
        </w:rPr>
        <w:t xml:space="preserve">Conector CETESB incremental pendente: </w:t>
      </w:r>
      <w:r>
        <w:t>sem rota HTTP pública document</w:t>
      </w:r>
      <w:r>
        <w:t>ada para boletins pós-2024 — decisão formalizada de manter como stub até que a CETESB publique uma API ou até que uma automação de navegador seja priorizada.</w:t>
      </w:r>
    </w:p>
    <w:p w:rsidR="00784DFD" w:rsidRDefault="00D61A55" w:rsidP="005E7A51">
      <w:pPr>
        <w:pStyle w:val="ListParagraph"/>
        <w:numPr>
          <w:ilvl w:val="0"/>
          <w:numId w:val="1"/>
        </w:numPr>
        <w:spacing w:after="120" w:line="280" w:lineRule="auto"/>
        <w:jc w:val="both"/>
      </w:pPr>
      <w:r>
        <w:rPr>
          <w:b/>
          <w:bCs/>
        </w:rPr>
        <w:t xml:space="preserve">DAG do Airflow ainda não expõe todas as etapas descritas na sua própria documentação: </w:t>
      </w:r>
      <w:r>
        <w:t>re-treino tr</w:t>
      </w:r>
      <w:r>
        <w:t xml:space="preserve">imestral de ML e notificação estão documentados como parte do fluxo pretendido, mas ainda não são tarefas separadas e agendadas no DAG atual — hoje rodam apenas manualmente (python -m </w:t>
      </w:r>
      <w:proofErr w:type="gramStart"/>
      <w:r>
        <w:t>waterweave.models.ml.train</w:t>
      </w:r>
      <w:proofErr w:type="gramEnd"/>
      <w:r>
        <w:t>).</w:t>
      </w:r>
    </w:p>
    <w:p w:rsidR="00784DFD" w:rsidRDefault="00D61A55">
      <w:pPr>
        <w:pStyle w:val="Heading1"/>
      </w:pPr>
      <w:r>
        <w:t>11. Conclusão</w:t>
      </w:r>
    </w:p>
    <w:p w:rsidR="00784DFD" w:rsidRDefault="00D61A55" w:rsidP="005E7A51">
      <w:pPr>
        <w:spacing w:after="200" w:line="300" w:lineRule="auto"/>
        <w:jc w:val="both"/>
      </w:pPr>
      <w:r>
        <w:t>O pipeline de dados do WaterWeave-Tietê é uma arquitetura medallion completa — Bronze (espelho fiel com proveniência), Silver (schema limpo e regularizado) e Gold (base analítica agregada) — construída sobre Delta Lake sem depender de infraestrutura distri</w:t>
      </w:r>
      <w:r>
        <w:t>buída, orquestrada mensalmente por um único ponto de entrada tolerante a falha de fontes individuais, e testada contra regressão de cobertura de fonte.</w:t>
      </w:r>
    </w:p>
    <w:p w:rsidR="00784DFD" w:rsidRDefault="00D61A55" w:rsidP="005E7A51">
      <w:pPr>
        <w:spacing w:after="200" w:line="300" w:lineRule="auto"/>
        <w:jc w:val="both"/>
      </w:pPr>
      <w:r>
        <w:t>A entrega final se ramifica em cinco caminhos coerentes entre si porque compartilham a mesma Gold: model</w:t>
      </w:r>
      <w:r>
        <w:t xml:space="preserve">os de Machine Learning, modelo biofísico/ABM, dashboard interativo para pessoas, relatórios formais em PDF para stakeholders, e um </w:t>
      </w:r>
      <w:proofErr w:type="gramStart"/>
      <w:r>
        <w:t>canal</w:t>
      </w:r>
      <w:proofErr w:type="gramEnd"/>
      <w:r>
        <w:t xml:space="preserve"> de co-criação que devolve propostas da comunidade ao próprio sistema. A coluna de proveniência fonte_tipo, propagada da</w:t>
      </w:r>
      <w:r>
        <w:t xml:space="preserve"> Bronze até a entrega final, garante que, em </w:t>
      </w:r>
      <w:r>
        <w:lastRenderedPageBreak/>
        <w:t>qualquer um desses cinco destinos, seja sempre possível distinguir medição real de campo de preenchimento sintético — uma garantia de rastreabilidade ponta a ponta que atravessa a arquitetura inteira.</w:t>
      </w:r>
    </w:p>
    <w:sectPr w:rsidR="00784DF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A55" w:rsidRDefault="00D61A55">
      <w:r>
        <w:separator/>
      </w:r>
    </w:p>
  </w:endnote>
  <w:endnote w:type="continuationSeparator" w:id="0">
    <w:p w:rsidR="00D61A55" w:rsidRDefault="00D61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DFD" w:rsidRDefault="00D61A55">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sidR="005E7A51">
      <w:rPr>
        <w:color w:val="595959"/>
        <w:sz w:val="16"/>
        <w:szCs w:val="16"/>
      </w:rPr>
      <w:fldChar w:fldCharType="separate"/>
    </w:r>
    <w:r w:rsidR="005E7A51">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sidR="005E7A51">
      <w:rPr>
        <w:color w:val="595959"/>
        <w:sz w:val="16"/>
        <w:szCs w:val="16"/>
      </w:rPr>
      <w:fldChar w:fldCharType="separate"/>
    </w:r>
    <w:r w:rsidR="005E7A51">
      <w:rPr>
        <w:noProof/>
        <w:color w:val="595959"/>
        <w:sz w:val="16"/>
        <w:szCs w:val="16"/>
      </w:rPr>
      <w:t>14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A55" w:rsidRDefault="00D61A55">
      <w:r>
        <w:separator/>
      </w:r>
    </w:p>
  </w:footnote>
  <w:footnote w:type="continuationSeparator" w:id="0">
    <w:p w:rsidR="00D61A55" w:rsidRDefault="00D61A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DFD" w:rsidRDefault="00D61A55">
    <w:pPr>
      <w:pBdr>
        <w:bottom w:val="single" w:sz="4" w:space="4" w:color="D9D9D9"/>
      </w:pBdr>
      <w:jc w:val="right"/>
    </w:pPr>
    <w:r>
      <w:rPr>
        <w:i/>
        <w:iCs/>
        <w:color w:val="595959"/>
        <w:sz w:val="16"/>
        <w:szCs w:val="16"/>
      </w:rPr>
      <w:t>WaterWeave-Tietê — Arquitetura do Pipeline de Dados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E1D22"/>
    <w:multiLevelType w:val="hybridMultilevel"/>
    <w:tmpl w:val="9D8EDEFE"/>
    <w:lvl w:ilvl="0" w:tplc="4FACEF2E">
      <w:start w:val="1"/>
      <w:numFmt w:val="bullet"/>
      <w:lvlText w:val="●"/>
      <w:lvlJc w:val="left"/>
      <w:pPr>
        <w:ind w:left="720" w:hanging="360"/>
      </w:pPr>
    </w:lvl>
    <w:lvl w:ilvl="1" w:tplc="502ACE9C">
      <w:start w:val="1"/>
      <w:numFmt w:val="bullet"/>
      <w:lvlText w:val="○"/>
      <w:lvlJc w:val="left"/>
      <w:pPr>
        <w:ind w:left="1440" w:hanging="360"/>
      </w:pPr>
    </w:lvl>
    <w:lvl w:ilvl="2" w:tplc="D0EC74E4">
      <w:start w:val="1"/>
      <w:numFmt w:val="bullet"/>
      <w:lvlText w:val="■"/>
      <w:lvlJc w:val="left"/>
      <w:pPr>
        <w:ind w:left="2160" w:hanging="360"/>
      </w:pPr>
    </w:lvl>
    <w:lvl w:ilvl="3" w:tplc="EED4D33E">
      <w:start w:val="1"/>
      <w:numFmt w:val="bullet"/>
      <w:lvlText w:val="●"/>
      <w:lvlJc w:val="left"/>
      <w:pPr>
        <w:ind w:left="2880" w:hanging="360"/>
      </w:pPr>
    </w:lvl>
    <w:lvl w:ilvl="4" w:tplc="9418C65C">
      <w:start w:val="1"/>
      <w:numFmt w:val="bullet"/>
      <w:lvlText w:val="○"/>
      <w:lvlJc w:val="left"/>
      <w:pPr>
        <w:ind w:left="3600" w:hanging="360"/>
      </w:pPr>
    </w:lvl>
    <w:lvl w:ilvl="5" w:tplc="4C3893C4">
      <w:start w:val="1"/>
      <w:numFmt w:val="bullet"/>
      <w:lvlText w:val="■"/>
      <w:lvlJc w:val="left"/>
      <w:pPr>
        <w:ind w:left="4320" w:hanging="360"/>
      </w:pPr>
    </w:lvl>
    <w:lvl w:ilvl="6" w:tplc="470C0A40">
      <w:start w:val="1"/>
      <w:numFmt w:val="bullet"/>
      <w:lvlText w:val="●"/>
      <w:lvlJc w:val="left"/>
      <w:pPr>
        <w:ind w:left="5040" w:hanging="360"/>
      </w:pPr>
    </w:lvl>
    <w:lvl w:ilvl="7" w:tplc="A112BDD8">
      <w:start w:val="1"/>
      <w:numFmt w:val="bullet"/>
      <w:lvlText w:val="●"/>
      <w:lvlJc w:val="left"/>
      <w:pPr>
        <w:ind w:left="5760" w:hanging="360"/>
      </w:pPr>
    </w:lvl>
    <w:lvl w:ilvl="8" w:tplc="955C95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DFD"/>
    <w:rsid w:val="005E7A51"/>
    <w:rsid w:val="00784DFD"/>
    <w:rsid w:val="00D61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533F"/>
  <w15:docId w15:val="{A3D9210B-4B38-4BB5-99AF-611764E6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4E5F"/>
      </w:pBdr>
      <w:spacing w:before="480" w:after="240"/>
      <w:outlineLvl w:val="0"/>
    </w:pPr>
    <w:rPr>
      <w:b/>
      <w:bCs/>
      <w:color w:val="1F4E5F"/>
      <w:sz w:val="32"/>
      <w:szCs w:val="32"/>
    </w:rPr>
  </w:style>
  <w:style w:type="paragraph" w:styleId="Heading2">
    <w:name w:val="heading 2"/>
    <w:qFormat/>
    <w:pPr>
      <w:spacing w:before="360" w:after="160"/>
      <w:outlineLvl w:val="1"/>
    </w:pPr>
    <w:rPr>
      <w:b/>
      <w:bCs/>
      <w:color w:val="1F4E5F"/>
      <w:sz w:val="26"/>
      <w:szCs w:val="26"/>
    </w:rPr>
  </w:style>
  <w:style w:type="paragraph" w:styleId="Heading3">
    <w:name w:val="heading 3"/>
    <w:qFormat/>
    <w:pPr>
      <w:spacing w:before="240" w:after="120"/>
      <w:outlineLvl w:val="2"/>
    </w:pPr>
    <w:rPr>
      <w:b/>
      <w:bCs/>
      <w:i/>
      <w:iCs/>
      <w:color w:val="3D6B7D"/>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3326</Words>
  <Characters>18964</Characters>
  <Application>Microsoft Office Word</Application>
  <DocSecurity>0</DocSecurity>
  <Lines>158</Lines>
  <Paragraphs>44</Paragraphs>
  <ScaleCrop>false</ScaleCrop>
  <Company>Ford Motor Company</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Arquitetura do Pipeline de Dados — WaterWeave-Tietê</dc:title>
  <dc:creator>WaterWeave-Tietê</dc:creator>
  <dc:description>Como os dados são coletados, processados, armazenados e entregues a pessoas, aplicações e modelos no projeto WaterWeave-Tietê</dc:description>
  <cp:lastModifiedBy>Silva, José (J.W.)</cp:lastModifiedBy>
  <cp:revision>2</cp:revision>
  <dcterms:created xsi:type="dcterms:W3CDTF">2026-07-28T21:08:00Z</dcterms:created>
  <dcterms:modified xsi:type="dcterms:W3CDTF">2026-07-28T21:17:00Z</dcterms:modified>
</cp:coreProperties>
</file>