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0"/>
        <w:jc w:val="center"/>
      </w:pPr>
      <w:r>
        <w:rPr>
          <w:b/>
          <w:i w:val="0"/>
          <w:color w:val="0E4C6E"/>
          <w:sz w:val="28"/>
        </w:rPr>
        <w:t>WATERWEAVE-TIETÊ</w:t>
      </w:r>
    </w:p>
    <w:p>
      <w:pPr>
        <w:spacing w:after="80" w:before="0"/>
        <w:jc w:val="center"/>
      </w:pPr>
      <w:r>
        <w:rPr>
          <w:b/>
          <w:i w:val="0"/>
          <w:sz w:val="48"/>
        </w:rPr>
        <w:t>Auditoria de Engenharia de Dados</w:t>
      </w:r>
    </w:p>
    <w:p>
      <w:pPr>
        <w:spacing w:after="800" w:before="0"/>
        <w:jc w:val="center"/>
      </w:pPr>
      <w:r>
        <w:rPr>
          <w:b w:val="0"/>
          <w:i/>
          <w:color w:val="555555"/>
          <w:sz w:val="28"/>
        </w:rPr>
        <w:t>Profiling, Modelagem e Análise Multitabelas das Fontes Brutas</w:t>
      </w:r>
    </w:p>
    <w:p>
      <w:pPr>
        <w:spacing w:after="120" w:before="0"/>
        <w:jc w:val="center"/>
      </w:pPr>
      <w:r>
        <w:rPr>
          <w:b w:val="0"/>
          <w:i/>
          <w:color w:val="555555"/>
          <w:sz w:val="22"/>
        </w:rPr>
        <w:t>Escopo: 7 famílias de fontes brutas (planilhas DAEE de vazão/chuva, cadastro estadual de estações, base histórica CETESB, série histórica de solo/sedimentos e sensoriamento remoto) e o pipeline Bronze/Silver/Gold já implementado em código no projeto.</w:t>
      </w:r>
    </w:p>
    <w:p>
      <w:r>
        <w:br w:type="page"/>
      </w:r>
    </w:p>
    <w:p>
      <w:pPr>
        <w:pStyle w:val="Heading1"/>
        <w:spacing w:before="440" w:after="200"/>
      </w:pPr>
      <w:r>
        <w:rPr>
          <w:color w:val="0E4C6E"/>
          <w:sz w:val="32"/>
        </w:rPr>
        <w:t>1. Sumário Executivo</w:t>
      </w:r>
    </w:p>
    <w:p>
      <w:pPr>
        <w:spacing w:after="160"/>
        <w:jc w:val="both"/>
      </w:pPr>
      <w:r>
        <w:rPr>
          <w:sz w:val="22"/>
        </w:rPr>
        <w:t>Esta auditoria cobriu as fontes brutas de dados do projeto (planilhas .xlsx originais) e o pipeline de ingestão (Bronze/Silver/Gold) já implementado em código, com o objetivo de diagnosticar qualidade, mapear relacionamentos e identificar lacunas antes de qualquer nova modelagem. Os números abaixo vêm de leitura direta das planilhas e das tabelas Delta já materializadas em disco — não são estimativas.</w:t>
      </w:r>
    </w:p>
    <w:p>
      <w:pPr>
        <w:pStyle w:val="Heading2"/>
        <w:spacing w:before="280" w:after="120"/>
      </w:pPr>
      <w:r>
        <w:rPr>
          <w:color w:val="0E4C6E"/>
          <w:sz w:val="26"/>
        </w:rPr>
        <w:t>Achado crítico</w:t>
      </w:r>
    </w:p>
    <w:p>
      <w:pPr>
        <w:spacing w:after="160"/>
        <w:jc w:val="both"/>
      </w:pPr>
      <w:r>
        <w:rPr>
          <w:sz w:val="22"/>
        </w:rPr>
        <w:t>O arquivo base_de_dados_pontos.xlsx contém 2.397.437 medições reais da rede CETESB (1978–2024, 699 pontos em todo o Estado de São Paulo, dos quais 32 no eixo do Rio Tietê, totalizando 137.452 medições reais disponíveis) — mas está registrado em RAW_SOURCES e NUNCA é lido por nenhum módulo bronze_*.py. Hoje, 100% dos indicadores de qualidade da água usados no dashboard, no modelo baseado em agentes (ABM) e nos modelos de Machine Learning (incluindo a análise SHAP anterior) vêm de Planilha_Historica_Solo_Sedimentos_Rio_Tiete.xlsx — uma planilha de apenas 258 linhas que a própria fonte declara como "simulada com base em tendências", não telemetria direta. Isso não invalida o que já foi construído (o pipeline trata essa proveniência corretamente via _fonte_tipo), mas significa que a base real e volumosa da CETESB permanece inexplorada.</w:t>
      </w:r>
    </w:p>
    <w:p>
      <w:pPr>
        <w:spacing w:after="120" w:before="0"/>
      </w:pPr>
      <w:r>
        <w:rPr>
          <w:b/>
          <w:i/>
          <w:color w:val="B02A2A"/>
          <w:sz w:val="21"/>
        </w:rPr>
        <w:t>ATUALIZAÇÃO (2026-07): este achado foi FECHADO — ver Seção 7 para o status de resolução e para três novas integrações de dado real (uso do solo, sensoriamento remoto, clima) feitas desde esta auditoria original.</w:t>
      </w:r>
    </w:p>
    <w:p>
      <w:pPr>
        <w:pStyle w:val="Heading2"/>
        <w:spacing w:before="280" w:after="120"/>
      </w:pPr>
      <w:r>
        <w:rPr>
          <w:color w:val="0E4C6E"/>
          <w:sz w:val="26"/>
        </w:rPr>
        <w:t>Outros achados principais</w:t>
      </w:r>
    </w:p>
    <w:p>
      <w:pPr>
        <w:pStyle w:val="ListBullet"/>
        <w:spacing w:after="80"/>
      </w:pPr>
      <w:r>
        <w:rPr>
          <w:sz w:val="22"/>
        </w:rPr>
        <w:t>Pipeline já existente (bronze_daee_fluviometria.py, bronze_daee_pluviometria.py, bronze_estacoes.py, bronze_qualidade_solo.py, bronze_sensoriamento.py + camadas Silver/Gold) já resolve corretamente vários problemas reais de qualidade — ver Fase 4.</w:t>
      </w:r>
    </w:p>
    <w:p>
      <w:pPr>
        <w:pStyle w:val="ListBullet"/>
        <w:spacing w:after="80"/>
      </w:pPr>
      <w:r>
        <w:rPr>
          <w:sz w:val="22"/>
        </w:rPr>
        <w:t>716 linhas 100% duplicadas em bronze.pluviometria (101.029 linhas): causa real identificada — arquivos DAEE reemitidos com janelas de data sobrepostas para o mesmo posto (ex.: "1970 - 2001" e "1970 - 2001 (1)" a "(6)" no Baixo Tietê), não arquivos idênticos.</w:t>
      </w:r>
    </w:p>
    <w:p>
      <w:pPr>
        <w:pStyle w:val="ListBullet"/>
        <w:spacing w:after="80"/>
      </w:pPr>
      <w:r>
        <w:rPr>
          <w:sz w:val="22"/>
        </w:rPr>
        <w:t>Desbalanceamento de cobertura por trecho: Alto Tietê tem 196 arquivos brutos (78 FLUV + 118 PLUV), Baixo Tietê 92, Médio Tietê apenas 27 — refletido em 1.516 de 3.835 linhas (39,5%) da gold.feature_store_ml com vazão ausente.</w:t>
      </w:r>
    </w:p>
    <w:p>
      <w:pPr>
        <w:pStyle w:val="ListBullet"/>
        <w:spacing w:after="80"/>
      </w:pPr>
      <w:r>
        <w:rPr>
          <w:sz w:val="22"/>
        </w:rPr>
        <w:t>Nomes de arquivo não identificam a estação: os relatórios de vazão usam o nome genérico "RELATORIO DE RESUMO DE MEDIÇÃO DE VAZÃO (N).xlsx" para 103 postos diferentes — a única forma de saber qual posto cada arquivo representa é abrir o arquivo e ler o cabeçalho interno.</w:t>
      </w:r>
    </w:p>
    <w:p>
      <w:pPr>
        <w:pStyle w:val="ListBullet"/>
        <w:spacing w:after="80"/>
      </w:pPr>
      <w:r>
        <w:rPr>
          <w:sz w:val="22"/>
        </w:rPr>
        <w:t>IQA correlaciona quase perfeitamente com Oxigênio Dissolvido (r=0,99) e Matéria Orgânica (r=-0,97), mas quase nada com chuva (r=-0,10) — consistente com o achado da análise SHAP anterior (o modelo de ML também não usa chuva/vazão como driver relevante).</w:t>
      </w:r>
    </w:p>
    <w:p>
      <w:pPr>
        <w:pStyle w:val="ListBullet"/>
        <w:spacing w:after="80"/>
      </w:pPr>
      <w:r>
        <w:rPr>
          <w:sz w:val="22"/>
        </w:rPr>
        <w:t>A tendência anual do IQA simulado (2011–2025) é essencialmente plana (49,0 a 53,3 pontos, sem tendência de melhora nem piora) — assinatura típica de série sintética, não de telemetria real sujeita a eventos/intervenções.</w:t>
      </w:r>
    </w:p>
    <w:p>
      <w:pPr>
        <w:pStyle w:val="ListBullet"/>
        <w:spacing w:after="80"/>
      </w:pPr>
      <w:r>
        <w:rPr>
          <w:sz w:val="22"/>
        </w:rPr>
        <w:t>SEQID em base_de_dados_pontos.xlsx parece um identificador único de linha, mas na verdade só tem 699 valores distintos para 2,4 milhões de linhas — é um identificador do PONTO, não da medição; usá-lo como chave primária de deduplicação produziria resultado errado.</w:t>
      </w:r>
    </w:p>
    <w:p>
      <w:r>
        <w:br w:type="page"/>
      </w:r>
    </w:p>
    <w:p>
      <w:pPr>
        <w:pStyle w:val="Heading1"/>
        <w:spacing w:before="440" w:after="200"/>
      </w:pPr>
      <w:r>
        <w:rPr>
          <w:color w:val="0E4C6E"/>
          <w:sz w:val="32"/>
        </w:rPr>
        <w:t>2. Matriz de Qualidade dos Dados</w:t>
      </w:r>
    </w:p>
    <w:p>
      <w:pPr>
        <w:spacing w:after="160"/>
        <w:jc w:val="both"/>
      </w:pPr>
      <w:r>
        <w:rPr>
          <w:sz w:val="22"/>
        </w:rPr>
        <w:t>Tabela consolidada por fonte bruta. "Linhas" refere-se ao volume real lido diretamente da planilha (ou, quando indicado, da tabela Bronze já materializada). Problemas em vermelho exigem tratamento antes de qualquer novo uso analítico.</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2041"/>
            <w:shd w:fill="0E4C6E"/>
          </w:tcPr>
          <w:p>
            <w:r/>
            <w:r>
              <w:rPr>
                <w:b/>
                <w:color w:val="FFFFFF"/>
                <w:sz w:val="17"/>
              </w:rPr>
              <w:t>Fonte</w:t>
            </w:r>
          </w:p>
        </w:tc>
        <w:tc>
          <w:tcPr>
            <w:tcW w:type="dxa" w:w="1134"/>
            <w:shd w:fill="0E4C6E"/>
          </w:tcPr>
          <w:p>
            <w:r/>
            <w:r>
              <w:rPr>
                <w:b/>
                <w:color w:val="FFFFFF"/>
                <w:sz w:val="17"/>
              </w:rPr>
              <w:t>Linhas</w:t>
            </w:r>
          </w:p>
        </w:tc>
        <w:tc>
          <w:tcPr>
            <w:tcW w:type="dxa" w:w="2041"/>
            <w:shd w:fill="0E4C6E"/>
          </w:tcPr>
          <w:p>
            <w:r/>
            <w:r>
              <w:rPr>
                <w:b/>
                <w:color w:val="FFFFFF"/>
                <w:sz w:val="17"/>
              </w:rPr>
              <w:t>Colunas-chave</w:t>
            </w:r>
          </w:p>
        </w:tc>
        <w:tc>
          <w:tcPr>
            <w:tcW w:type="dxa" w:w="2041"/>
            <w:shd w:fill="0E4C6E"/>
          </w:tcPr>
          <w:p>
            <w:r/>
            <w:r>
              <w:rPr>
                <w:b/>
                <w:color w:val="FFFFFF"/>
                <w:sz w:val="17"/>
              </w:rPr>
              <w:t>Nulos relevantes</w:t>
            </w:r>
          </w:p>
        </w:tc>
        <w:tc>
          <w:tcPr>
            <w:tcW w:type="dxa" w:w="1020"/>
            <w:shd w:fill="0E4C6E"/>
          </w:tcPr>
          <w:p>
            <w:r/>
            <w:r>
              <w:rPr>
                <w:b/>
                <w:color w:val="FFFFFF"/>
                <w:sz w:val="17"/>
              </w:rPr>
              <w:t>Duplicatas</w:t>
            </w:r>
          </w:p>
        </w:tc>
        <w:tc>
          <w:tcPr>
            <w:tcW w:type="dxa" w:w="2268"/>
            <w:shd w:fill="0E4C6E"/>
          </w:tcPr>
          <w:p>
            <w:r/>
            <w:r>
              <w:rPr>
                <w:b/>
                <w:color w:val="FFFFFF"/>
                <w:sz w:val="17"/>
              </w:rPr>
              <w:t>Principal problema</w:t>
            </w:r>
          </w:p>
        </w:tc>
      </w:tr>
      <w:tr>
        <w:tc>
          <w:tcPr>
            <w:tcW w:type="dxa" w:w="2041"/>
          </w:tcPr>
          <w:p>
            <w:r/>
            <w:r>
              <w:rPr>
                <w:sz w:val="17"/>
              </w:rPr>
              <w:t>cod_latlong.xlsx</w:t>
              <w:br/>
              <w:t>(dimensão de estações)</w:t>
            </w:r>
          </w:p>
        </w:tc>
        <w:tc>
          <w:tcPr>
            <w:tcW w:type="dxa" w:w="1134"/>
          </w:tcPr>
          <w:p>
            <w:r/>
            <w:r>
              <w:rPr>
                <w:sz w:val="17"/>
              </w:rPr>
              <w:t>699</w:t>
            </w:r>
          </w:p>
        </w:tc>
        <w:tc>
          <w:tcPr>
            <w:tcW w:type="dxa" w:w="2041"/>
          </w:tcPr>
          <w:p>
            <w:r/>
            <w:r>
              <w:rPr>
                <w:sz w:val="17"/>
              </w:rPr>
              <w:t>CodPonto, LongDecml, LattDecml, UGRHI</w:t>
            </w:r>
          </w:p>
        </w:tc>
        <w:tc>
          <w:tcPr>
            <w:tcW w:type="dxa" w:w="2041"/>
          </w:tcPr>
          <w:p>
            <w:r/>
            <w:r>
              <w:rPr>
                <w:sz w:val="17"/>
              </w:rPr>
              <w:t>0,6% (Long/Lat, 4 linhas)</w:t>
            </w:r>
          </w:p>
        </w:tc>
        <w:tc>
          <w:tcPr>
            <w:tcW w:type="dxa" w:w="1020"/>
          </w:tcPr>
          <w:p>
            <w:r/>
            <w:r>
              <w:rPr>
                <w:sz w:val="17"/>
              </w:rPr>
              <w:t>0</w:t>
            </w:r>
          </w:p>
        </w:tc>
        <w:tc>
          <w:tcPr>
            <w:tcW w:type="dxa" w:w="2268"/>
          </w:tcPr>
          <w:p>
            <w:r/>
            <w:r>
              <w:rPr>
                <w:sz w:val="17"/>
              </w:rPr>
              <w:t>Acentuação corrompida (mojibake) em colunas de texto; 2 CodPonto sem correspondência na base CETESB</w:t>
            </w:r>
          </w:p>
        </w:tc>
      </w:tr>
      <w:tr>
        <w:tc>
          <w:tcPr>
            <w:tcW w:type="dxa" w:w="2041"/>
          </w:tcPr>
          <w:p>
            <w:r/>
            <w:r>
              <w:rPr>
                <w:b/>
                <w:color w:val="B02A2A"/>
                <w:sz w:val="17"/>
              </w:rPr>
              <w:t>base_de_dados_pontos.xlsx</w:t>
              <w:br/>
              <w:t>(fato CETESB, 3 abas)</w:t>
            </w:r>
          </w:p>
        </w:tc>
        <w:tc>
          <w:tcPr>
            <w:tcW w:type="dxa" w:w="1134"/>
          </w:tcPr>
          <w:p>
            <w:r/>
            <w:r>
              <w:rPr>
                <w:b/>
                <w:color w:val="B02A2A"/>
                <w:sz w:val="17"/>
              </w:rPr>
              <w:t>2.397.437</w:t>
            </w:r>
          </w:p>
        </w:tc>
        <w:tc>
          <w:tcPr>
            <w:tcW w:type="dxa" w:w="2041"/>
          </w:tcPr>
          <w:p>
            <w:r/>
            <w:r>
              <w:rPr>
                <w:b/>
                <w:color w:val="B02A2A"/>
                <w:sz w:val="17"/>
              </w:rPr>
              <w:t>CodPonto, Coleta_Data, Parametro, Resultado_numerico</w:t>
            </w:r>
          </w:p>
        </w:tc>
        <w:tc>
          <w:tcPr>
            <w:tcW w:type="dxa" w:w="2041"/>
          </w:tcPr>
          <w:p>
            <w:r/>
            <w:r>
              <w:rPr>
                <w:b/>
                <w:color w:val="B02A2A"/>
                <w:sz w:val="17"/>
              </w:rPr>
              <w:t>93,5% Resultado_Texto · 70,7% Sinal · 6,5% Resultado_numerico</w:t>
            </w:r>
          </w:p>
        </w:tc>
        <w:tc>
          <w:tcPr>
            <w:tcW w:type="dxa" w:w="1020"/>
          </w:tcPr>
          <w:p>
            <w:r/>
            <w:r>
              <w:rPr>
                <w:b/>
                <w:color w:val="B02A2A"/>
                <w:sz w:val="17"/>
              </w:rPr>
              <w:t>0 linhas exatas (mas SEQID repete 699 valores)</w:t>
            </w:r>
          </w:p>
        </w:tc>
        <w:tc>
          <w:tcPr>
            <w:tcW w:type="dxa" w:w="2268"/>
          </w:tcPr>
          <w:p>
            <w:r/>
            <w:r>
              <w:rPr>
                <w:b/>
                <w:color w:val="B02A2A"/>
                <w:sz w:val="17"/>
              </w:rPr>
              <w:t>NÃO ingerida no pipeline; outlier extremo (máx. 9x10⁹); 70,7% dos resultados numéricos têm indicador de censura analítica (&lt;, &gt;) que precisa ser tratado à parte</w:t>
            </w:r>
          </w:p>
        </w:tc>
      </w:tr>
      <w:tr>
        <w:tc>
          <w:tcPr>
            <w:tcW w:type="dxa" w:w="2041"/>
          </w:tcPr>
          <w:p>
            <w:r/>
            <w:r>
              <w:rPr>
                <w:sz w:val="17"/>
              </w:rPr>
              <w:t>ALTO/MÉDIO/BAIXO TIETE_FLUV</w:t>
              <w:br/>
              <w:t>(vazão bruta, 103 arquivos)</w:t>
            </w:r>
          </w:p>
        </w:tc>
        <w:tc>
          <w:tcPr>
            <w:tcW w:type="dxa" w:w="1134"/>
          </w:tcPr>
          <w:p>
            <w:r/>
            <w:r>
              <w:rPr>
                <w:sz w:val="17"/>
              </w:rPr>
              <w:t>14.074 (bronze)</w:t>
            </w:r>
          </w:p>
        </w:tc>
        <w:tc>
          <w:tcPr>
            <w:tcW w:type="dxa" w:w="2041"/>
          </w:tcPr>
          <w:p>
            <w:r/>
            <w:r>
              <w:rPr>
                <w:sz w:val="17"/>
              </w:rPr>
              <w:t>codigo_posto, data, vazao_m3s</w:t>
            </w:r>
          </w:p>
        </w:tc>
        <w:tc>
          <w:tcPr>
            <w:tcW w:type="dxa" w:w="2041"/>
          </w:tcPr>
          <w:p>
            <w:r/>
            <w:r>
              <w:rPr>
                <w:sz w:val="17"/>
              </w:rPr>
              <w:t>~35% (colunas exclusivas de um dos 2 formatos coexistentes)</w:t>
            </w:r>
          </w:p>
        </w:tc>
        <w:tc>
          <w:tcPr>
            <w:tcW w:type="dxa" w:w="1020"/>
          </w:tcPr>
          <w:p>
            <w:r/>
            <w:r>
              <w:rPr>
                <w:sz w:val="17"/>
              </w:rPr>
              <w:t>0</w:t>
            </w:r>
          </w:p>
        </w:tc>
        <w:tc>
          <w:tcPr>
            <w:tcW w:type="dxa" w:w="2268"/>
          </w:tcPr>
          <w:p>
            <w:r/>
            <w:r>
              <w:rPr>
                <w:sz w:val="17"/>
              </w:rPr>
              <w:t>Schema drift: 2 formatos distintos ("posto DAEE" com cabeçalho de 7 linhas vs. "consolidado" já mensal); nome de arquivo não identifica a estação</w:t>
            </w:r>
          </w:p>
        </w:tc>
      </w:tr>
      <w:tr>
        <w:tc>
          <w:tcPr>
            <w:tcW w:type="dxa" w:w="2041"/>
          </w:tcPr>
          <w:p>
            <w:r/>
            <w:r>
              <w:rPr>
                <w:sz w:val="17"/>
              </w:rPr>
              <w:t>ALTO/MÉDIO/BAIXO TIETE_PLUV</w:t>
              <w:br/>
              <w:t>(chuva bruta, 212 arquivos)</w:t>
            </w:r>
          </w:p>
        </w:tc>
        <w:tc>
          <w:tcPr>
            <w:tcW w:type="dxa" w:w="1134"/>
          </w:tcPr>
          <w:p>
            <w:r/>
            <w:r>
              <w:rPr>
                <w:sz w:val="17"/>
              </w:rPr>
              <w:t>101.029 (bronze)</w:t>
            </w:r>
          </w:p>
        </w:tc>
        <w:tc>
          <w:tcPr>
            <w:tcW w:type="dxa" w:w="2041"/>
          </w:tcPr>
          <w:p>
            <w:r/>
            <w:r>
              <w:rPr>
                <w:sz w:val="17"/>
              </w:rPr>
              <w:t>codigo_posto, ano, mes, altura_mm</w:t>
            </w:r>
          </w:p>
        </w:tc>
        <w:tc>
          <w:tcPr>
            <w:tcW w:type="dxa" w:w="2041"/>
          </w:tcPr>
          <w:p>
            <w:r/>
            <w:r>
              <w:rPr>
                <w:sz w:val="17"/>
              </w:rPr>
              <w:t>até 90,6% em município/lat/long/data (idem — colunas exclusivas de um formato)</w:t>
            </w:r>
          </w:p>
        </w:tc>
        <w:tc>
          <w:tcPr>
            <w:tcW w:type="dxa" w:w="1020"/>
          </w:tcPr>
          <w:p>
            <w:r/>
            <w:r>
              <w:rPr>
                <w:sz w:val="17"/>
              </w:rPr>
              <w:t>716 (bronze)</w:t>
            </w:r>
          </w:p>
        </w:tc>
        <w:tc>
          <w:tcPr>
            <w:tcW w:type="dxa" w:w="2268"/>
          </w:tcPr>
          <w:p>
            <w:r/>
            <w:r>
              <w:rPr>
                <w:sz w:val="17"/>
              </w:rPr>
              <w:t>Mesmo schema drift dos relatórios de vazão; duplicação por reemissão de arquivos com período sobreposto para o mesmo posto</w:t>
            </w:r>
          </w:p>
        </w:tc>
      </w:tr>
      <w:tr>
        <w:tc>
          <w:tcPr>
            <w:tcW w:type="dxa" w:w="2041"/>
          </w:tcPr>
          <w:p>
            <w:r/>
            <w:r>
              <w:rPr>
                <w:sz w:val="17"/>
              </w:rPr>
              <w:t>Planilha_Historica_Solo_Sedimentos</w:t>
              <w:br/>
              <w:t>(258 linhas)</w:t>
            </w:r>
          </w:p>
        </w:tc>
        <w:tc>
          <w:tcPr>
            <w:tcW w:type="dxa" w:w="1134"/>
          </w:tcPr>
          <w:p>
            <w:r/>
            <w:r>
              <w:rPr>
                <w:sz w:val="17"/>
              </w:rPr>
              <w:t>258</w:t>
            </w:r>
          </w:p>
        </w:tc>
        <w:tc>
          <w:tcPr>
            <w:tcW w:type="dxa" w:w="2041"/>
          </w:tcPr>
          <w:p>
            <w:r/>
            <w:r>
              <w:rPr>
                <w:sz w:val="17"/>
              </w:rPr>
              <w:t>trecho_id, ano, iqa, od_mg_l, dbo_mg_l</w:t>
            </w:r>
          </w:p>
        </w:tc>
        <w:tc>
          <w:tcPr>
            <w:tcW w:type="dxa" w:w="2041"/>
          </w:tcPr>
          <w:p>
            <w:r/>
            <w:r>
              <w:rPr>
                <w:sz w:val="17"/>
              </w:rPr>
              <w:t>0%</w:t>
            </w:r>
          </w:p>
        </w:tc>
        <w:tc>
          <w:tcPr>
            <w:tcW w:type="dxa" w:w="1020"/>
          </w:tcPr>
          <w:p>
            <w:r/>
            <w:r>
              <w:rPr>
                <w:sz w:val="17"/>
              </w:rPr>
              <w:t>0</w:t>
            </w:r>
          </w:p>
        </w:tc>
        <w:tc>
          <w:tcPr>
            <w:tcW w:type="dxa" w:w="2268"/>
          </w:tcPr>
          <w:p>
            <w:r/>
            <w:r>
              <w:rPr>
                <w:sz w:val="17"/>
              </w:rPr>
              <w:t>Autodeclarada "simulada com base em tendências" pela própria fonte; tendência temporal artificialmente plana (2011–2025)</w:t>
            </w:r>
          </w:p>
        </w:tc>
      </w:tr>
      <w:tr>
        <w:tc>
          <w:tcPr>
            <w:tcW w:type="dxa" w:w="2041"/>
          </w:tcPr>
          <w:p>
            <w:r/>
            <w:r>
              <w:rPr>
                <w:sz w:val="17"/>
              </w:rPr>
              <w:t>Sensoriamento_Remoto_Rio_Tiete.xlsx</w:t>
              <w:br/>
              <w:t>(14 linhas)</w:t>
            </w:r>
          </w:p>
        </w:tc>
        <w:tc>
          <w:tcPr>
            <w:tcW w:type="dxa" w:w="1134"/>
          </w:tcPr>
          <w:p>
            <w:r/>
            <w:r>
              <w:rPr>
                <w:sz w:val="17"/>
              </w:rPr>
              <w:t>14</w:t>
            </w:r>
          </w:p>
        </w:tc>
        <w:tc>
          <w:tcPr>
            <w:tcW w:type="dxa" w:w="2041"/>
          </w:tcPr>
          <w:p>
            <w:r/>
            <w:r>
              <w:rPr>
                <w:sz w:val="17"/>
              </w:rPr>
              <w:t>Parametro, Valor Medido, Fonte do Dado</w:t>
            </w:r>
          </w:p>
        </w:tc>
        <w:tc>
          <w:tcPr>
            <w:tcW w:type="dxa" w:w="2041"/>
          </w:tcPr>
          <w:p>
            <w:r/>
            <w:r>
              <w:rPr>
                <w:sz w:val="17"/>
              </w:rPr>
              <w:t>0%</w:t>
            </w:r>
          </w:p>
        </w:tc>
        <w:tc>
          <w:tcPr>
            <w:tcW w:type="dxa" w:w="1020"/>
          </w:tcPr>
          <w:p>
            <w:r/>
            <w:r>
              <w:rPr>
                <w:sz w:val="17"/>
              </w:rPr>
              <w:t>0</w:t>
            </w:r>
          </w:p>
        </w:tc>
        <w:tc>
          <w:tcPr>
            <w:tcW w:type="dxa" w:w="2268"/>
          </w:tcPr>
          <w:p>
            <w:r/>
            <w:r>
              <w:rPr>
                <w:sz w:val="17"/>
              </w:rPr>
              <w:t>Volume ínfimo (14 linhas para toda a bacia); mistura 5 fontes/sensores heterogêneos (ESA, USGS, INPE, NASA, ANA) sem harmonização de unidades; autodeclarada simulada</w:t>
            </w:r>
          </w:p>
        </w:tc>
      </w:tr>
    </w:tbl>
    <w:p>
      <w:pPr>
        <w:spacing w:after="80"/>
      </w:pPr>
    </w:p>
    <w:p>
      <w:pPr>
        <w:pStyle w:val="Heading1"/>
        <w:spacing w:before="440" w:after="200"/>
      </w:pPr>
      <w:r>
        <w:rPr>
          <w:color w:val="0E4C6E"/>
          <w:sz w:val="32"/>
        </w:rPr>
        <w:t>3. Diagrama de Relacionamento Lógico</w:t>
      </w:r>
    </w:p>
    <w:p>
      <w:pPr>
        <w:spacing w:after="160"/>
        <w:jc w:val="both"/>
      </w:pPr>
      <w:r>
        <w:rPr>
          <w:sz w:val="22"/>
        </w:rPr>
        <w:t>O projeto não tem hoje um diagrama entidade-relacionamento formal; o mapeamento abaixo foi reconstruído a partir do código de ingestão/transformação já existente em src/waterweave/ (módulos bronze_*.py e transform/*.py) e validado cruzando as chaves reais das planilhas.</w:t>
      </w:r>
    </w:p>
    <w:p>
      <w:pPr>
        <w:pStyle w:val="Heading2"/>
        <w:spacing w:before="280" w:after="120"/>
      </w:pPr>
      <w:r>
        <w:rPr>
          <w:color w:val="0E4C6E"/>
          <w:sz w:val="26"/>
        </w:rPr>
        <w:t>3.1 Chaves candidatas por fonte</w:t>
      </w:r>
    </w:p>
    <w:p>
      <w:pPr>
        <w:pStyle w:val="ListBullet"/>
        <w:spacing w:after="80"/>
      </w:pPr>
      <w:r>
        <w:rPr>
          <w:sz w:val="22"/>
        </w:rPr>
        <w:t>cod_latlong.xlsx: PK = CodPonto (699 valores únicos, cadastro estadual completo).</w:t>
      </w:r>
    </w:p>
    <w:p>
      <w:pPr>
        <w:pStyle w:val="ListBullet"/>
        <w:spacing w:after="80"/>
      </w:pPr>
      <w:r>
        <w:rPr>
          <w:sz w:val="22"/>
        </w:rPr>
        <w:t>base_de_dados_pontos.xlsx: NÃO tem PK de linha própria e confiável — SEQID repete (só 699 valores distintos, um por ponto). A chave real de uma medição individual é o composto (CodPonto, Coleta_Data, Coleta_Hora, Parametro).</w:t>
      </w:r>
    </w:p>
    <w:p>
      <w:pPr>
        <w:pStyle w:val="ListBullet"/>
        <w:spacing w:after="80"/>
      </w:pPr>
      <w:r>
        <w:rPr>
          <w:sz w:val="22"/>
        </w:rPr>
        <w:t>Relatórios DAEE de vazão/chuva: chave é o texto livre "POSTO" lido do cabeçalho interno do arquivo (ex.: "3E-085 - BELENZINHO") — não há um código curto e estável equivalente ao CodPonto da CETESB.</w:t>
      </w:r>
    </w:p>
    <w:p>
      <w:pPr>
        <w:pStyle w:val="ListBullet"/>
        <w:spacing w:after="80"/>
      </w:pPr>
      <w:r>
        <w:rPr>
          <w:sz w:val="22"/>
        </w:rPr>
        <w:t>Tabelas Silver/Gold (já no pipeline): chave é sempre (trecho_id, ano, mes) — a granularidade por posto individual é perdida ao entrar na Silver (agregação intencional, ver 3.3).</w:t>
      </w:r>
    </w:p>
    <w:p>
      <w:pPr>
        <w:pStyle w:val="Heading2"/>
        <w:spacing w:before="280" w:after="120"/>
      </w:pPr>
      <w:r>
        <w:rPr>
          <w:color w:val="0E4C6E"/>
          <w:sz w:val="26"/>
        </w:rPr>
        <w:t>3.2 Relacionamentos identificados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928"/>
            <w:shd w:fill="0E4C6E"/>
          </w:tcPr>
          <w:p>
            <w:r/>
            <w:r>
              <w:rPr>
                <w:b/>
                <w:color w:val="FFFFFF"/>
                <w:sz w:val="17"/>
              </w:rPr>
              <w:t>Tabela A</w:t>
            </w:r>
          </w:p>
        </w:tc>
        <w:tc>
          <w:tcPr>
            <w:tcW w:type="dxa" w:w="1928"/>
            <w:shd w:fill="0E4C6E"/>
          </w:tcPr>
          <w:p>
            <w:r/>
            <w:r>
              <w:rPr>
                <w:b/>
                <w:color w:val="FFFFFF"/>
                <w:sz w:val="17"/>
              </w:rPr>
              <w:t>Tabela B</w:t>
            </w:r>
          </w:p>
        </w:tc>
        <w:tc>
          <w:tcPr>
            <w:tcW w:type="dxa" w:w="1701"/>
            <w:shd w:fill="0E4C6E"/>
          </w:tcPr>
          <w:p>
            <w:r/>
            <w:r>
              <w:rPr>
                <w:b/>
                <w:color w:val="FFFFFF"/>
                <w:sz w:val="17"/>
              </w:rPr>
              <w:t>Chave de junção</w:t>
            </w:r>
          </w:p>
        </w:tc>
        <w:tc>
          <w:tcPr>
            <w:tcW w:type="dxa" w:w="907"/>
            <w:shd w:fill="0E4C6E"/>
          </w:tcPr>
          <w:p>
            <w:r/>
            <w:r>
              <w:rPr>
                <w:b/>
                <w:color w:val="FFFFFF"/>
                <w:sz w:val="17"/>
              </w:rPr>
              <w:t>Cardinalidade</w:t>
            </w:r>
          </w:p>
        </w:tc>
        <w:tc>
          <w:tcPr>
            <w:tcW w:type="dxa" w:w="3515"/>
            <w:shd w:fill="0E4C6E"/>
          </w:tcPr>
          <w:p>
            <w:r/>
            <w:r>
              <w:rPr>
                <w:b/>
                <w:color w:val="FFFFFF"/>
                <w:sz w:val="17"/>
              </w:rPr>
              <w:t>Status de integridade</w:t>
            </w:r>
          </w:p>
        </w:tc>
      </w:tr>
      <w:tr>
        <w:tc>
          <w:tcPr>
            <w:tcW w:type="dxa" w:w="1928"/>
          </w:tcPr>
          <w:p>
            <w:r/>
            <w:r>
              <w:rPr>
                <w:sz w:val="17"/>
              </w:rPr>
              <w:t>cod_latlong.xlsx</w:t>
              <w:br/>
              <w:t>(dimensão, 699)</w:t>
            </w:r>
          </w:p>
        </w:tc>
        <w:tc>
          <w:tcPr>
            <w:tcW w:type="dxa" w:w="1928"/>
          </w:tcPr>
          <w:p>
            <w:r/>
            <w:r>
              <w:rPr>
                <w:sz w:val="17"/>
              </w:rPr>
              <w:t>base_de_dados_pontos.xlsx</w:t>
              <w:br/>
              <w:t>(fato, 2.397.437)</w:t>
            </w:r>
          </w:p>
        </w:tc>
        <w:tc>
          <w:tcPr>
            <w:tcW w:type="dxa" w:w="1701"/>
          </w:tcPr>
          <w:p>
            <w:r/>
            <w:r>
              <w:rPr>
                <w:sz w:val="17"/>
              </w:rPr>
              <w:t>CodPonto</w:t>
            </w:r>
          </w:p>
        </w:tc>
        <w:tc>
          <w:tcPr>
            <w:tcW w:type="dxa" w:w="907"/>
          </w:tcPr>
          <w:p>
            <w:r/>
            <w:r>
              <w:rPr>
                <w:sz w:val="17"/>
              </w:rPr>
              <w:t>1:N</w:t>
            </w:r>
          </w:p>
        </w:tc>
        <w:tc>
          <w:tcPr>
            <w:tcW w:type="dxa" w:w="3515"/>
          </w:tcPr>
          <w:p>
            <w:r/>
            <w:r>
              <w:rPr>
                <w:sz w:val="17"/>
              </w:rPr>
              <w:t>697/699 pontos com correspondência nos dois lados; 2 órfãos em cada lado (0,3% — não crítico, mas deve ser investigado antes de qualquer JOIN automatizado)</w:t>
            </w:r>
          </w:p>
        </w:tc>
      </w:tr>
      <w:tr>
        <w:tc>
          <w:tcPr>
            <w:tcW w:type="dxa" w:w="1928"/>
          </w:tcPr>
          <w:p>
            <w:r/>
            <w:r>
              <w:rPr>
                <w:sz w:val="17"/>
              </w:rPr>
              <w:t>cod_latlong.xlsx filtrado</w:t>
              <w:br/>
              <w:t>(eixo Tietê, 32 pontos)</w:t>
            </w:r>
          </w:p>
        </w:tc>
        <w:tc>
          <w:tcPr>
            <w:tcW w:type="dxa" w:w="1928"/>
          </w:tcPr>
          <w:p>
            <w:r/>
            <w:r>
              <w:rPr>
                <w:sz w:val="17"/>
              </w:rPr>
              <w:t>base_de_dados_pontos.xlsx</w:t>
            </w:r>
          </w:p>
        </w:tc>
        <w:tc>
          <w:tcPr>
            <w:tcW w:type="dxa" w:w="1701"/>
          </w:tcPr>
          <w:p>
            <w:r/>
            <w:r>
              <w:rPr>
                <w:sz w:val="17"/>
              </w:rPr>
              <w:t>CodPonto (prefixo TIET/TIBT)</w:t>
            </w:r>
          </w:p>
        </w:tc>
        <w:tc>
          <w:tcPr>
            <w:tcW w:type="dxa" w:w="907"/>
          </w:tcPr>
          <w:p>
            <w:r/>
            <w:r>
              <w:rPr>
                <w:sz w:val="17"/>
              </w:rPr>
              <w:t>1:N</w:t>
            </w:r>
          </w:p>
        </w:tc>
        <w:tc>
          <w:tcPr>
            <w:tcW w:type="dxa" w:w="3515"/>
          </w:tcPr>
          <w:p>
            <w:r/>
            <w:r>
              <w:rPr>
                <w:sz w:val="17"/>
              </w:rPr>
              <w:t>137.452 medições reais (5,7% do total estadual) disponíveis para os 3 trechos — hoje não utilizadas pelo pipeline</w:t>
            </w:r>
          </w:p>
        </w:tc>
      </w:tr>
      <w:tr>
        <w:tc>
          <w:tcPr>
            <w:tcW w:type="dxa" w:w="1928"/>
          </w:tcPr>
          <w:p>
            <w:r/>
            <w:r>
              <w:rPr>
                <w:b/>
                <w:color w:val="B02A2A"/>
                <w:sz w:val="17"/>
              </w:rPr>
              <w:t>bronze.fluviometria/pluviometria</w:t>
              <w:br/>
              <w:t>(rede DAEE)</w:t>
            </w:r>
          </w:p>
        </w:tc>
        <w:tc>
          <w:tcPr>
            <w:tcW w:type="dxa" w:w="1928"/>
          </w:tcPr>
          <w:p>
            <w:r/>
            <w:r>
              <w:rPr>
                <w:b/>
                <w:color w:val="B02A2A"/>
                <w:sz w:val="17"/>
              </w:rPr>
              <w:t>bronze.estacoes / cod_latlong</w:t>
              <w:br/>
              <w:t>(rede CETESB)</w:t>
            </w:r>
          </w:p>
        </w:tc>
        <w:tc>
          <w:tcPr>
            <w:tcW w:type="dxa" w:w="1701"/>
          </w:tcPr>
          <w:p>
            <w:r/>
            <w:r>
              <w:rPr>
                <w:b/>
                <w:color w:val="B02A2A"/>
                <w:sz w:val="17"/>
              </w:rPr>
              <w:t>NENHUMA — redes de cadastro distintas</w:t>
            </w:r>
          </w:p>
        </w:tc>
        <w:tc>
          <w:tcPr>
            <w:tcW w:type="dxa" w:w="907"/>
          </w:tcPr>
          <w:p>
            <w:r/>
            <w:r>
              <w:rPr>
                <w:b/>
                <w:color w:val="B02A2A"/>
                <w:sz w:val="17"/>
              </w:rPr>
              <w:t>N/A</w:t>
            </w:r>
          </w:p>
        </w:tc>
        <w:tc>
          <w:tcPr>
            <w:tcW w:type="dxa" w:w="3515"/>
          </w:tcPr>
          <w:p>
            <w:r/>
            <w:r>
              <w:rPr>
                <w:b/>
                <w:color w:val="B02A2A"/>
                <w:sz w:val="17"/>
              </w:rPr>
              <w:t>GAP DE INTEGRIDADE: não existe de-para entre posto DAEE (hidrologia) e CodPonto CETESB (qualidade); a união hoje só acontece por trecho_id (agregação geográfica grosseira, ~350km de rio por trecho), não por proximidade real entre estações</w:t>
            </w:r>
          </w:p>
        </w:tc>
      </w:tr>
      <w:tr>
        <w:tc>
          <w:tcPr>
            <w:tcW w:type="dxa" w:w="1928"/>
          </w:tcPr>
          <w:p>
            <w:r/>
            <w:r>
              <w:rPr>
                <w:sz w:val="17"/>
              </w:rPr>
              <w:t>silver.vazao_mensal</w:t>
            </w:r>
          </w:p>
        </w:tc>
        <w:tc>
          <w:tcPr>
            <w:tcW w:type="dxa" w:w="1928"/>
          </w:tcPr>
          <w:p>
            <w:r/>
            <w:r>
              <w:rPr>
                <w:sz w:val="17"/>
              </w:rPr>
              <w:t>silver.chuva_mensal</w:t>
            </w:r>
          </w:p>
        </w:tc>
        <w:tc>
          <w:tcPr>
            <w:tcW w:type="dxa" w:w="1701"/>
          </w:tcPr>
          <w:p>
            <w:r/>
            <w:r>
              <w:rPr>
                <w:sz w:val="17"/>
              </w:rPr>
              <w:t>(trecho_id, ano, mes)</w:t>
            </w:r>
          </w:p>
        </w:tc>
        <w:tc>
          <w:tcPr>
            <w:tcW w:type="dxa" w:w="907"/>
          </w:tcPr>
          <w:p>
            <w:r/>
            <w:r>
              <w:rPr>
                <w:sz w:val="17"/>
              </w:rPr>
              <w:t>1:1</w:t>
            </w:r>
          </w:p>
        </w:tc>
        <w:tc>
          <w:tcPr>
            <w:tcW w:type="dxa" w:w="3515"/>
          </w:tcPr>
          <w:p>
            <w:r/>
            <w:r>
              <w:rPr>
                <w:sz w:val="17"/>
              </w:rPr>
              <w:t>Ambos os lados já agregados à mesma granularidade antes do merge — sem risco de fan-out</w:t>
            </w:r>
          </w:p>
        </w:tc>
      </w:tr>
      <w:tr>
        <w:tc>
          <w:tcPr>
            <w:tcW w:type="dxa" w:w="1928"/>
          </w:tcPr>
          <w:p>
            <w:r/>
            <w:r>
              <w:rPr>
                <w:sz w:val="17"/>
              </w:rPr>
              <w:t>gold.serie_temporal_trecho_mes</w:t>
              <w:br/>
              <w:t>(mensal)</w:t>
            </w:r>
          </w:p>
        </w:tc>
        <w:tc>
          <w:tcPr>
            <w:tcW w:type="dxa" w:w="1928"/>
          </w:tcPr>
          <w:p>
            <w:r/>
            <w:r>
              <w:rPr>
                <w:sz w:val="17"/>
              </w:rPr>
              <w:t>silver.qualidade</w:t>
              <w:br/>
              <w:t>(anual)</w:t>
            </w:r>
          </w:p>
        </w:tc>
        <w:tc>
          <w:tcPr>
            <w:tcW w:type="dxa" w:w="1701"/>
          </w:tcPr>
          <w:p>
            <w:r/>
            <w:r>
              <w:rPr>
                <w:sz w:val="17"/>
              </w:rPr>
              <w:t>(trecho_id, ano)</w:t>
            </w:r>
          </w:p>
        </w:tc>
        <w:tc>
          <w:tcPr>
            <w:tcW w:type="dxa" w:w="907"/>
          </w:tcPr>
          <w:p>
            <w:r/>
            <w:r>
              <w:rPr>
                <w:sz w:val="17"/>
              </w:rPr>
              <w:t>1:N (deliberado)</w:t>
            </w:r>
          </w:p>
        </w:tc>
        <w:tc>
          <w:tcPr>
            <w:tcW w:type="dxa" w:w="3515"/>
          </w:tcPr>
          <w:p>
            <w:r/>
            <w:r>
              <w:rPr>
                <w:sz w:val="17"/>
              </w:rPr>
              <w:t>Left join controlado: 1 linha anual de qualidade é propositalmente repetida em ~12 meses (documentado no próprio código-fonte) — não duplica métricas indevidamente porque a chave do lado "1" é única por (trecho_id, ano)</w:t>
            </w:r>
          </w:p>
        </w:tc>
      </w:tr>
    </w:tbl>
    <w:p>
      <w:pPr>
        <w:spacing w:after="80"/>
      </w:pPr>
    </w:p>
    <w:p>
      <w:pPr>
        <w:pStyle w:val="Heading2"/>
        <w:spacing w:before="280" w:after="120"/>
      </w:pPr>
      <w:r>
        <w:rPr>
          <w:color w:val="0E4C6E"/>
          <w:sz w:val="26"/>
        </w:rPr>
        <w:t>3.3 Por que a granularidade cai para trecho/mês</w:t>
      </w:r>
    </w:p>
    <w:p>
      <w:pPr>
        <w:spacing w:after="160"/>
        <w:jc w:val="both"/>
      </w:pPr>
      <w:r>
        <w:rPr>
          <w:sz w:val="22"/>
        </w:rPr>
        <w:t>O código de transformação (silver_hidrologia.py) já documenta essa decisão explicitamente: postos fluviométricos e pluviométricos são redes físicas diferentes (não a mesma estação medindo as duas grandezas), então uma junção por posto individual criaria uma correspondência falsa. A junção legítima só acontece agregada por trecho/mês na camada Gold. Esta auditoria confirma que essa é a escolha correta dado o estado atual das fontes — mas também é a razão estrutural pela qual não é possível hoje responder "qual estação específica está mais poluída", só "qual trecho".</w:t>
      </w:r>
    </w:p>
    <w:p>
      <w:r>
        <w:br w:type="page"/>
      </w:r>
    </w:p>
    <w:p>
      <w:pPr>
        <w:pStyle w:val="Heading1"/>
        <w:spacing w:before="440" w:after="200"/>
      </w:pPr>
      <w:r>
        <w:rPr>
          <w:color w:val="0E4C6E"/>
          <w:sz w:val="32"/>
        </w:rPr>
        <w:t>4. Achados do Comportamento dos Dados</w:t>
      </w:r>
    </w:p>
    <w:p>
      <w:pPr>
        <w:pStyle w:val="Heading2"/>
        <w:spacing w:before="280" w:after="120"/>
      </w:pPr>
      <w:r>
        <w:rPr>
          <w:color w:val="0E4C6E"/>
          <w:sz w:val="26"/>
        </w:rPr>
        <w:t>4.1 Volume de arquivos brutos por trecho (DAEE)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984"/>
            <w:shd w:fill="0E4C6E"/>
          </w:tcPr>
          <w:p>
            <w:r/>
            <w:r>
              <w:rPr>
                <w:b/>
                <w:color w:val="FFFFFF"/>
                <w:sz w:val="19"/>
              </w:rPr>
              <w:t>Trecho</w:t>
            </w:r>
          </w:p>
        </w:tc>
        <w:tc>
          <w:tcPr>
            <w:tcW w:type="dxa" w:w="1984"/>
            <w:shd w:fill="0E4C6E"/>
          </w:tcPr>
          <w:p>
            <w:r/>
            <w:r>
              <w:rPr>
                <w:b/>
                <w:color w:val="FFFFFF"/>
                <w:sz w:val="19"/>
              </w:rPr>
              <w:t>Arquivos FLUV (vazão)</w:t>
            </w:r>
          </w:p>
        </w:tc>
        <w:tc>
          <w:tcPr>
            <w:tcW w:type="dxa" w:w="1984"/>
            <w:shd w:fill="0E4C6E"/>
          </w:tcPr>
          <w:p>
            <w:r/>
            <w:r>
              <w:rPr>
                <w:b/>
                <w:color w:val="FFFFFF"/>
                <w:sz w:val="19"/>
              </w:rPr>
              <w:t>Arquivos PLUV (chuva)</w:t>
            </w:r>
          </w:p>
        </w:tc>
        <w:tc>
          <w:tcPr>
            <w:tcW w:type="dxa" w:w="1134"/>
            <w:shd w:fill="0E4C6E"/>
          </w:tcPr>
          <w:p>
            <w:r/>
            <w:r>
              <w:rPr>
                <w:b/>
                <w:color w:val="FFFFFF"/>
                <w:sz w:val="19"/>
              </w:rPr>
              <w:t>Total</w:t>
            </w:r>
          </w:p>
        </w:tc>
        <w:tc>
          <w:tcPr>
            <w:tcW w:type="dxa" w:w="1701"/>
            <w:shd w:fill="0E4C6E"/>
          </w:tcPr>
          <w:p>
            <w:r/>
            <w:r>
              <w:rPr>
                <w:b/>
                <w:color w:val="FFFFFF"/>
                <w:sz w:val="19"/>
              </w:rPr>
              <w:t>% do total de arquivos</w:t>
            </w:r>
          </w:p>
        </w:tc>
      </w:tr>
      <w:tr>
        <w:tc>
          <w:tcPr>
            <w:tcW w:type="dxa" w:w="1984"/>
          </w:tcPr>
          <w:p>
            <w:r/>
            <w:r>
              <w:rPr>
                <w:sz w:val="19"/>
              </w:rPr>
              <w:t>Alto Tietê</w:t>
            </w:r>
          </w:p>
        </w:tc>
        <w:tc>
          <w:tcPr>
            <w:tcW w:type="dxa" w:w="1984"/>
          </w:tcPr>
          <w:p>
            <w:r/>
            <w:r>
              <w:rPr>
                <w:sz w:val="19"/>
              </w:rPr>
              <w:t>78</w:t>
            </w:r>
          </w:p>
        </w:tc>
        <w:tc>
          <w:tcPr>
            <w:tcW w:type="dxa" w:w="1984"/>
          </w:tcPr>
          <w:p>
            <w:r/>
            <w:r>
              <w:rPr>
                <w:sz w:val="19"/>
              </w:rPr>
              <w:t>118</w:t>
            </w:r>
          </w:p>
        </w:tc>
        <w:tc>
          <w:tcPr>
            <w:tcW w:type="dxa" w:w="1134"/>
          </w:tcPr>
          <w:p>
            <w:r/>
            <w:r>
              <w:rPr>
                <w:sz w:val="19"/>
              </w:rPr>
              <w:t>196</w:t>
            </w:r>
          </w:p>
        </w:tc>
        <w:tc>
          <w:tcPr>
            <w:tcW w:type="dxa" w:w="1701"/>
          </w:tcPr>
          <w:p>
            <w:r/>
            <w:r>
              <w:rPr>
                <w:sz w:val="19"/>
              </w:rPr>
              <w:t>62,6%</w:t>
            </w:r>
          </w:p>
        </w:tc>
      </w:tr>
      <w:tr>
        <w:tc>
          <w:tcPr>
            <w:tcW w:type="dxa" w:w="1984"/>
          </w:tcPr>
          <w:p>
            <w:r/>
            <w:r>
              <w:rPr>
                <w:sz w:val="19"/>
              </w:rPr>
              <w:t>Baixo Tietê</w:t>
            </w:r>
          </w:p>
        </w:tc>
        <w:tc>
          <w:tcPr>
            <w:tcW w:type="dxa" w:w="1984"/>
          </w:tcPr>
          <w:p>
            <w:r/>
            <w:r>
              <w:rPr>
                <w:sz w:val="19"/>
              </w:rPr>
              <w:t>12</w:t>
            </w:r>
          </w:p>
        </w:tc>
        <w:tc>
          <w:tcPr>
            <w:tcW w:type="dxa" w:w="1984"/>
          </w:tcPr>
          <w:p>
            <w:r/>
            <w:r>
              <w:rPr>
                <w:sz w:val="19"/>
              </w:rPr>
              <w:t>80</w:t>
            </w:r>
          </w:p>
        </w:tc>
        <w:tc>
          <w:tcPr>
            <w:tcW w:type="dxa" w:w="1134"/>
          </w:tcPr>
          <w:p>
            <w:r/>
            <w:r>
              <w:rPr>
                <w:sz w:val="19"/>
              </w:rPr>
              <w:t>92</w:t>
            </w:r>
          </w:p>
        </w:tc>
        <w:tc>
          <w:tcPr>
            <w:tcW w:type="dxa" w:w="1701"/>
          </w:tcPr>
          <w:p>
            <w:r/>
            <w:r>
              <w:rPr>
                <w:sz w:val="19"/>
              </w:rPr>
              <w:t>29,4%</w:t>
            </w:r>
          </w:p>
        </w:tc>
      </w:tr>
      <w:tr>
        <w:tc>
          <w:tcPr>
            <w:tcW w:type="dxa" w:w="1984"/>
          </w:tcPr>
          <w:p>
            <w:r/>
            <w:r>
              <w:rPr>
                <w:sz w:val="19"/>
              </w:rPr>
              <w:t>Médio Tietê</w:t>
            </w:r>
          </w:p>
        </w:tc>
        <w:tc>
          <w:tcPr>
            <w:tcW w:type="dxa" w:w="1984"/>
          </w:tcPr>
          <w:p>
            <w:r/>
            <w:r>
              <w:rPr>
                <w:sz w:val="19"/>
              </w:rPr>
              <w:t>13</w:t>
            </w:r>
          </w:p>
        </w:tc>
        <w:tc>
          <w:tcPr>
            <w:tcW w:type="dxa" w:w="1984"/>
          </w:tcPr>
          <w:p>
            <w:r/>
            <w:r>
              <w:rPr>
                <w:sz w:val="19"/>
              </w:rPr>
              <w:t>14</w:t>
            </w:r>
          </w:p>
        </w:tc>
        <w:tc>
          <w:tcPr>
            <w:tcW w:type="dxa" w:w="1134"/>
          </w:tcPr>
          <w:p>
            <w:r/>
            <w:r>
              <w:rPr>
                <w:sz w:val="19"/>
              </w:rPr>
              <w:t>27</w:t>
            </w:r>
          </w:p>
        </w:tc>
        <w:tc>
          <w:tcPr>
            <w:tcW w:type="dxa" w:w="1701"/>
          </w:tcPr>
          <w:p>
            <w:r/>
            <w:r>
              <w:rPr>
                <w:sz w:val="19"/>
              </w:rPr>
              <w:t>8,6%</w:t>
            </w:r>
          </w:p>
        </w:tc>
      </w:tr>
    </w:tbl>
    <w:p>
      <w:pPr>
        <w:spacing w:after="80"/>
      </w:pPr>
    </w:p>
    <w:p>
      <w:pPr>
        <w:spacing w:after="160"/>
        <w:jc w:val="both"/>
      </w:pPr>
      <w:r>
        <w:rPr>
          <w:sz w:val="22"/>
        </w:rPr>
        <w:t>O desbalanceamento (Médio Tietê com menos de 1/7 dos arquivos do Alto Tietê) se propaga até a camada Gold: 1.516 das 3.835 linhas (39,5%) de gold.feature_store_ml têm vazao_m3s_medio ausente, concentradas nos meses/trechos com menor cobertura de postos.</w:t>
      </w:r>
    </w:p>
    <w:p>
      <w:pPr>
        <w:pStyle w:val="Heading2"/>
        <w:spacing w:before="280" w:after="120"/>
      </w:pPr>
      <w:r>
        <w:rPr>
          <w:color w:val="0E4C6E"/>
          <w:sz w:val="26"/>
        </w:rPr>
        <w:t>4.2 Correlação entre indicadores (gold.feature_store_ml, Pearson)</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0E4C6E"/>
          </w:tcPr>
          <w:p>
            <w:r/>
            <w:r>
              <w:rPr>
                <w:b/>
                <w:color w:val="FFFFFF"/>
                <w:sz w:val="18"/>
              </w:rPr>
              <w:t>Par de variáveis</w:t>
            </w:r>
          </w:p>
        </w:tc>
        <w:tc>
          <w:tcPr>
            <w:tcW w:type="dxa" w:w="1417"/>
            <w:shd w:fill="0E4C6E"/>
          </w:tcPr>
          <w:p>
            <w:r/>
            <w:r>
              <w:rPr>
                <w:b/>
                <w:color w:val="FFFFFF"/>
                <w:sz w:val="18"/>
              </w:rPr>
              <w:t>Correlação (r)</w:t>
            </w:r>
          </w:p>
        </w:tc>
        <w:tc>
          <w:tcPr>
            <w:tcW w:type="dxa" w:w="4535"/>
            <w:shd w:fill="0E4C6E"/>
          </w:tcPr>
          <w:p>
            <w:r/>
            <w:r>
              <w:rPr>
                <w:b/>
                <w:color w:val="FFFFFF"/>
                <w:sz w:val="18"/>
              </w:rPr>
              <w:t>Leitura</w:t>
            </w:r>
          </w:p>
        </w:tc>
      </w:tr>
      <w:tr>
        <w:tc>
          <w:tcPr>
            <w:tcW w:type="dxa" w:w="2835"/>
          </w:tcPr>
          <w:p>
            <w:r/>
            <w:r>
              <w:rPr>
                <w:sz w:val="18"/>
              </w:rPr>
              <w:t>IQA × Oxigênio Dissolvido</w:t>
            </w:r>
          </w:p>
        </w:tc>
        <w:tc>
          <w:tcPr>
            <w:tcW w:type="dxa" w:w="1417"/>
          </w:tcPr>
          <w:p>
            <w:r/>
            <w:r>
              <w:rPr>
                <w:sz w:val="18"/>
              </w:rPr>
              <w:t>0,99</w:t>
            </w:r>
          </w:p>
        </w:tc>
        <w:tc>
          <w:tcPr>
            <w:tcW w:type="dxa" w:w="4535"/>
          </w:tcPr>
          <w:p>
            <w:r/>
            <w:r>
              <w:rPr>
                <w:sz w:val="18"/>
              </w:rPr>
              <w:t>Praticamente redundantes na série simulada (esperado — Streeter-Phelps)</w:t>
            </w:r>
          </w:p>
        </w:tc>
      </w:tr>
      <w:tr>
        <w:tc>
          <w:tcPr>
            <w:tcW w:type="dxa" w:w="2835"/>
          </w:tcPr>
          <w:p>
            <w:r/>
            <w:r>
              <w:rPr>
                <w:sz w:val="18"/>
              </w:rPr>
              <w:t>IQA × Matéria Orgânica</w:t>
            </w:r>
          </w:p>
        </w:tc>
        <w:tc>
          <w:tcPr>
            <w:tcW w:type="dxa" w:w="1417"/>
          </w:tcPr>
          <w:p>
            <w:r/>
            <w:r>
              <w:rPr>
                <w:sz w:val="18"/>
              </w:rPr>
              <w:t>-0,97</w:t>
            </w:r>
          </w:p>
        </w:tc>
        <w:tc>
          <w:tcPr>
            <w:tcW w:type="dxa" w:w="4535"/>
          </w:tcPr>
          <w:p>
            <w:r/>
            <w:r>
              <w:rPr>
                <w:sz w:val="18"/>
              </w:rPr>
              <w:t>Forte e negativa, como esperado fisicamente</w:t>
            </w:r>
          </w:p>
        </w:tc>
      </w:tr>
      <w:tr>
        <w:tc>
          <w:tcPr>
            <w:tcW w:type="dxa" w:w="2835"/>
          </w:tcPr>
          <w:p>
            <w:r/>
            <w:r>
              <w:rPr>
                <w:sz w:val="18"/>
              </w:rPr>
              <w:t>IQA × Metais Pesados</w:t>
            </w:r>
          </w:p>
        </w:tc>
        <w:tc>
          <w:tcPr>
            <w:tcW w:type="dxa" w:w="1417"/>
          </w:tcPr>
          <w:p>
            <w:r/>
            <w:r>
              <w:rPr>
                <w:sz w:val="18"/>
              </w:rPr>
              <w:t>-0,89</w:t>
            </w:r>
          </w:p>
        </w:tc>
        <w:tc>
          <w:tcPr>
            <w:tcW w:type="dxa" w:w="4535"/>
          </w:tcPr>
          <w:p>
            <w:r/>
            <w:r>
              <w:rPr>
                <w:sz w:val="18"/>
              </w:rPr>
              <w:t>Forte e negativa</w:t>
            </w:r>
          </w:p>
        </w:tc>
      </w:tr>
      <w:tr>
        <w:tc>
          <w:tcPr>
            <w:tcW w:type="dxa" w:w="2835"/>
          </w:tcPr>
          <w:p>
            <w:r/>
            <w:r>
              <w:rPr>
                <w:sz w:val="18"/>
              </w:rPr>
              <w:t>IQA × DBO</w:t>
            </w:r>
          </w:p>
        </w:tc>
        <w:tc>
          <w:tcPr>
            <w:tcW w:type="dxa" w:w="1417"/>
          </w:tcPr>
          <w:p>
            <w:r/>
            <w:r>
              <w:rPr>
                <w:sz w:val="18"/>
              </w:rPr>
              <w:t>-0,93</w:t>
            </w:r>
          </w:p>
        </w:tc>
        <w:tc>
          <w:tcPr>
            <w:tcW w:type="dxa" w:w="4535"/>
          </w:tcPr>
          <w:p>
            <w:r/>
            <w:r>
              <w:rPr>
                <w:sz w:val="18"/>
              </w:rPr>
              <w:t>Forte e negativa, como esperado</w:t>
            </w:r>
          </w:p>
        </w:tc>
      </w:tr>
      <w:tr>
        <w:tc>
          <w:tcPr>
            <w:tcW w:type="dxa" w:w="2835"/>
          </w:tcPr>
          <w:p>
            <w:r/>
            <w:r>
              <w:rPr>
                <w:sz w:val="18"/>
              </w:rPr>
              <w:t>IQA × Vazão média</w:t>
            </w:r>
          </w:p>
        </w:tc>
        <w:tc>
          <w:tcPr>
            <w:tcW w:type="dxa" w:w="1417"/>
          </w:tcPr>
          <w:p>
            <w:r/>
            <w:r>
              <w:rPr>
                <w:sz w:val="18"/>
              </w:rPr>
              <w:t>0,42</w:t>
            </w:r>
          </w:p>
        </w:tc>
        <w:tc>
          <w:tcPr>
            <w:tcW w:type="dxa" w:w="4535"/>
          </w:tcPr>
          <w:p>
            <w:r/>
            <w:r>
              <w:rPr>
                <w:sz w:val="18"/>
              </w:rPr>
              <w:t>Moderada — mais fraca do que se poderia supor</w:t>
            </w:r>
          </w:p>
        </w:tc>
      </w:tr>
      <w:tr>
        <w:tc>
          <w:tcPr>
            <w:tcW w:type="dxa" w:w="2835"/>
          </w:tcPr>
          <w:p>
            <w:r/>
            <w:r>
              <w:rPr>
                <w:sz w:val="18"/>
              </w:rPr>
              <w:t>IQA × Chuva média</w:t>
            </w:r>
          </w:p>
        </w:tc>
        <w:tc>
          <w:tcPr>
            <w:tcW w:type="dxa" w:w="1417"/>
          </w:tcPr>
          <w:p>
            <w:r/>
            <w:r>
              <w:rPr>
                <w:sz w:val="18"/>
              </w:rPr>
              <w:t>-0,10</w:t>
            </w:r>
          </w:p>
        </w:tc>
        <w:tc>
          <w:tcPr>
            <w:tcW w:type="dxa" w:w="4535"/>
          </w:tcPr>
          <w:p>
            <w:r/>
            <w:r>
              <w:rPr>
                <w:sz w:val="18"/>
              </w:rPr>
              <w:t>Praticamente nula — mesma conclusão da análise SHAP dos modelos de ML</w:t>
            </w:r>
          </w:p>
        </w:tc>
      </w:tr>
    </w:tbl>
    <w:p>
      <w:pPr>
        <w:spacing w:after="80"/>
      </w:pPr>
    </w:p>
    <w:p>
      <w:pPr>
        <w:pStyle w:val="Heading2"/>
        <w:spacing w:before="280" w:after="120"/>
      </w:pPr>
      <w:r>
        <w:rPr>
          <w:color w:val="0E4C6E"/>
          <w:sz w:val="26"/>
        </w:rPr>
        <w:t>4.3 IQA médio por trecho (gold.feature_store_ml, todo o período)</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984"/>
            <w:shd w:fill="0E4C6E"/>
          </w:tcPr>
          <w:p>
            <w:r/>
            <w:r>
              <w:rPr>
                <w:b/>
                <w:color w:val="FFFFFF"/>
                <w:sz w:val="19"/>
              </w:rPr>
              <w:t>Trecho</w:t>
            </w:r>
          </w:p>
        </w:tc>
        <w:tc>
          <w:tcPr>
            <w:tcW w:type="dxa" w:w="1417"/>
            <w:shd w:fill="0E4C6E"/>
          </w:tcPr>
          <w:p>
            <w:r/>
            <w:r>
              <w:rPr>
                <w:b/>
                <w:color w:val="FFFFFF"/>
                <w:sz w:val="19"/>
              </w:rPr>
              <w:t>Média</w:t>
            </w:r>
          </w:p>
        </w:tc>
        <w:tc>
          <w:tcPr>
            <w:tcW w:type="dxa" w:w="1701"/>
            <w:shd w:fill="0E4C6E"/>
          </w:tcPr>
          <w:p>
            <w:r/>
            <w:r>
              <w:rPr>
                <w:b/>
                <w:color w:val="FFFFFF"/>
                <w:sz w:val="19"/>
              </w:rPr>
              <w:t>Desvio padrão</w:t>
            </w:r>
          </w:p>
        </w:tc>
        <w:tc>
          <w:tcPr>
            <w:tcW w:type="dxa" w:w="1417"/>
            <w:shd w:fill="0E4C6E"/>
          </w:tcPr>
          <w:p>
            <w:r/>
            <w:r>
              <w:rPr>
                <w:b/>
                <w:color w:val="FFFFFF"/>
                <w:sz w:val="19"/>
              </w:rPr>
              <w:t>Mínimo</w:t>
            </w:r>
          </w:p>
        </w:tc>
        <w:tc>
          <w:tcPr>
            <w:tcW w:type="dxa" w:w="1417"/>
            <w:shd w:fill="0E4C6E"/>
          </w:tcPr>
          <w:p>
            <w:r/>
            <w:r>
              <w:rPr>
                <w:b/>
                <w:color w:val="FFFFFF"/>
                <w:sz w:val="19"/>
              </w:rPr>
              <w:t>Máximo</w:t>
            </w:r>
          </w:p>
        </w:tc>
        <w:tc>
          <w:tcPr>
            <w:tcW w:type="dxa" w:w="1134"/>
            <w:shd w:fill="0E4C6E"/>
          </w:tcPr>
          <w:p>
            <w:r/>
            <w:r>
              <w:rPr>
                <w:b/>
                <w:color w:val="FFFFFF"/>
                <w:sz w:val="19"/>
              </w:rPr>
              <w:t>N</w:t>
            </w:r>
          </w:p>
        </w:tc>
      </w:tr>
      <w:tr>
        <w:tc>
          <w:tcPr>
            <w:tcW w:type="dxa" w:w="1984"/>
          </w:tcPr>
          <w:p>
            <w:r/>
            <w:r>
              <w:rPr>
                <w:sz w:val="19"/>
              </w:rPr>
              <w:t>Alto Tietê</w:t>
            </w:r>
          </w:p>
        </w:tc>
        <w:tc>
          <w:tcPr>
            <w:tcW w:type="dxa" w:w="1417"/>
          </w:tcPr>
          <w:p>
            <w:r/>
            <w:r>
              <w:rPr>
                <w:sz w:val="19"/>
              </w:rPr>
              <w:t>40,9</w:t>
            </w:r>
          </w:p>
        </w:tc>
        <w:tc>
          <w:tcPr>
            <w:tcW w:type="dxa" w:w="1701"/>
          </w:tcPr>
          <w:p>
            <w:r/>
            <w:r>
              <w:rPr>
                <w:sz w:val="19"/>
              </w:rPr>
              <w:t>21,7</w:t>
            </w:r>
          </w:p>
        </w:tc>
        <w:tc>
          <w:tcPr>
            <w:tcW w:type="dxa" w:w="1417"/>
          </w:tcPr>
          <w:p>
            <w:r/>
            <w:r>
              <w:rPr>
                <w:sz w:val="19"/>
              </w:rPr>
              <w:t>15,3</w:t>
            </w:r>
          </w:p>
        </w:tc>
        <w:tc>
          <w:tcPr>
            <w:tcW w:type="dxa" w:w="1417"/>
          </w:tcPr>
          <w:p>
            <w:r/>
            <w:r>
              <w:rPr>
                <w:sz w:val="19"/>
              </w:rPr>
              <w:t>86,0</w:t>
            </w:r>
          </w:p>
        </w:tc>
        <w:tc>
          <w:tcPr>
            <w:tcW w:type="dxa" w:w="1134"/>
          </w:tcPr>
          <w:p>
            <w:r/>
            <w:r>
              <w:rPr>
                <w:sz w:val="19"/>
              </w:rPr>
              <w:t>1.032</w:t>
            </w:r>
          </w:p>
        </w:tc>
      </w:tr>
      <w:tr>
        <w:tc>
          <w:tcPr>
            <w:tcW w:type="dxa" w:w="1984"/>
          </w:tcPr>
          <w:p>
            <w:r/>
            <w:r>
              <w:rPr>
                <w:sz w:val="19"/>
              </w:rPr>
              <w:t>Médio Tietê</w:t>
            </w:r>
          </w:p>
        </w:tc>
        <w:tc>
          <w:tcPr>
            <w:tcW w:type="dxa" w:w="1417"/>
          </w:tcPr>
          <w:p>
            <w:r/>
            <w:r>
              <w:rPr>
                <w:sz w:val="19"/>
              </w:rPr>
              <w:t>64,0</w:t>
            </w:r>
          </w:p>
        </w:tc>
        <w:tc>
          <w:tcPr>
            <w:tcW w:type="dxa" w:w="1701"/>
          </w:tcPr>
          <w:p>
            <w:r/>
            <w:r>
              <w:rPr>
                <w:sz w:val="19"/>
              </w:rPr>
              <w:t>11,2</w:t>
            </w:r>
          </w:p>
        </w:tc>
        <w:tc>
          <w:tcPr>
            <w:tcW w:type="dxa" w:w="1417"/>
          </w:tcPr>
          <w:p>
            <w:r/>
            <w:r>
              <w:rPr>
                <w:sz w:val="19"/>
              </w:rPr>
              <w:t>42,0</w:t>
            </w:r>
          </w:p>
        </w:tc>
        <w:tc>
          <w:tcPr>
            <w:tcW w:type="dxa" w:w="1417"/>
          </w:tcPr>
          <w:p>
            <w:r/>
            <w:r>
              <w:rPr>
                <w:sz w:val="19"/>
              </w:rPr>
              <w:t>83,2</w:t>
            </w:r>
          </w:p>
        </w:tc>
        <w:tc>
          <w:tcPr>
            <w:tcW w:type="dxa" w:w="1134"/>
          </w:tcPr>
          <w:p>
            <w:r/>
            <w:r>
              <w:rPr>
                <w:sz w:val="19"/>
              </w:rPr>
              <w:t>1.032</w:t>
            </w:r>
          </w:p>
        </w:tc>
      </w:tr>
      <w:tr>
        <w:tc>
          <w:tcPr>
            <w:tcW w:type="dxa" w:w="1984"/>
          </w:tcPr>
          <w:p>
            <w:r/>
            <w:r>
              <w:rPr>
                <w:sz w:val="19"/>
              </w:rPr>
              <w:t>Baixo Tietê</w:t>
            </w:r>
          </w:p>
        </w:tc>
        <w:tc>
          <w:tcPr>
            <w:tcW w:type="dxa" w:w="1417"/>
          </w:tcPr>
          <w:p>
            <w:r/>
            <w:r>
              <w:rPr>
                <w:sz w:val="19"/>
              </w:rPr>
              <w:t>84,8</w:t>
            </w:r>
          </w:p>
        </w:tc>
        <w:tc>
          <w:tcPr>
            <w:tcW w:type="dxa" w:w="1701"/>
          </w:tcPr>
          <w:p>
            <w:r/>
            <w:r>
              <w:rPr>
                <w:sz w:val="19"/>
              </w:rPr>
              <w:t>3,9</w:t>
            </w:r>
          </w:p>
        </w:tc>
        <w:tc>
          <w:tcPr>
            <w:tcW w:type="dxa" w:w="1417"/>
          </w:tcPr>
          <w:p>
            <w:r/>
            <w:r>
              <w:rPr>
                <w:sz w:val="19"/>
              </w:rPr>
              <w:t>75,3</w:t>
            </w:r>
          </w:p>
        </w:tc>
        <w:tc>
          <w:tcPr>
            <w:tcW w:type="dxa" w:w="1417"/>
          </w:tcPr>
          <w:p>
            <w:r/>
            <w:r>
              <w:rPr>
                <w:sz w:val="19"/>
              </w:rPr>
              <w:t>92,0</w:t>
            </w:r>
          </w:p>
        </w:tc>
        <w:tc>
          <w:tcPr>
            <w:tcW w:type="dxa" w:w="1134"/>
          </w:tcPr>
          <w:p>
            <w:r/>
            <w:r>
              <w:rPr>
                <w:sz w:val="19"/>
              </w:rPr>
              <w:t>1.032</w:t>
            </w:r>
          </w:p>
        </w:tc>
      </w:tr>
    </w:tbl>
    <w:p>
      <w:pPr>
        <w:spacing w:after="80"/>
      </w:pPr>
    </w:p>
    <w:p>
      <w:pPr>
        <w:spacing w:after="160"/>
        <w:jc w:val="both"/>
      </w:pPr>
      <w:r>
        <w:rPr>
          <w:sz w:val="22"/>
        </w:rPr>
        <w:t>O Alto Tietê não só tem a pior média como também o maior desvio padrão (21,7) — a qualidade da água ali oscila muito mais ao longo do tempo simulado do que no Baixo Tietê (desvio padrão de apenas 3,9, quase estável).</w:t>
      </w:r>
    </w:p>
    <w:p>
      <w:pPr>
        <w:pStyle w:val="Heading2"/>
        <w:spacing w:before="280" w:after="120"/>
      </w:pPr>
      <w:r>
        <w:rPr>
          <w:color w:val="0E4C6E"/>
          <w:sz w:val="26"/>
        </w:rPr>
        <w:t>4.4 Sazonalidade da chuva (média mensal, todos os trechos)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17"/>
            <w:shd w:fill="0E4C6E"/>
          </w:tcPr>
          <w:p>
            <w:r/>
            <w:r>
              <w:rPr>
                <w:b/>
                <w:color w:val="FFFFFF"/>
                <w:sz w:val="19"/>
              </w:rPr>
              <w:t>Mês</w:t>
            </w:r>
          </w:p>
        </w:tc>
        <w:tc>
          <w:tcPr>
            <w:tcW w:type="dxa" w:w="1984"/>
            <w:shd w:fill="0E4C6E"/>
          </w:tcPr>
          <w:p>
            <w:r/>
            <w:r>
              <w:rPr>
                <w:b/>
                <w:color w:val="FFFFFF"/>
                <w:sz w:val="19"/>
              </w:rPr>
              <w:t>Chuva média (mm)</w:t>
            </w:r>
          </w:p>
        </w:tc>
        <w:tc>
          <w:tcPr>
            <w:tcW w:type="dxa" w:w="1417"/>
            <w:shd w:fill="0E4C6E"/>
          </w:tcPr>
          <w:p>
            <w:r/>
            <w:r>
              <w:rPr>
                <w:b/>
                <w:color w:val="FFFFFF"/>
                <w:sz w:val="19"/>
              </w:rPr>
              <w:t>Mês</w:t>
            </w:r>
          </w:p>
        </w:tc>
        <w:tc>
          <w:tcPr>
            <w:tcW w:type="dxa" w:w="1984"/>
            <w:shd w:fill="0E4C6E"/>
          </w:tcPr>
          <w:p>
            <w:r/>
            <w:r>
              <w:rPr>
                <w:b/>
                <w:color w:val="FFFFFF"/>
                <w:sz w:val="19"/>
              </w:rPr>
              <w:t>Chuva média (mm)</w:t>
            </w:r>
          </w:p>
        </w:tc>
      </w:tr>
      <w:tr>
        <w:tc>
          <w:tcPr>
            <w:tcW w:type="dxa" w:w="1417"/>
          </w:tcPr>
          <w:p>
            <w:r/>
            <w:r>
              <w:rPr>
                <w:sz w:val="19"/>
              </w:rPr>
              <w:t>Jan</w:t>
            </w:r>
          </w:p>
        </w:tc>
        <w:tc>
          <w:tcPr>
            <w:tcW w:type="dxa" w:w="1984"/>
          </w:tcPr>
          <w:p>
            <w:r/>
            <w:r>
              <w:rPr>
                <w:sz w:val="19"/>
              </w:rPr>
              <w:t>236,2</w:t>
            </w:r>
          </w:p>
        </w:tc>
        <w:tc>
          <w:tcPr>
            <w:tcW w:type="dxa" w:w="1417"/>
          </w:tcPr>
          <w:p>
            <w:r/>
            <w:r>
              <w:rPr>
                <w:sz w:val="19"/>
              </w:rPr>
              <w:t>Jul</w:t>
            </w:r>
          </w:p>
        </w:tc>
        <w:tc>
          <w:tcPr>
            <w:tcW w:type="dxa" w:w="1984"/>
          </w:tcPr>
          <w:p>
            <w:r/>
            <w:r>
              <w:rPr>
                <w:sz w:val="19"/>
              </w:rPr>
              <w:t>32,9</w:t>
            </w:r>
          </w:p>
        </w:tc>
      </w:tr>
      <w:tr>
        <w:tc>
          <w:tcPr>
            <w:tcW w:type="dxa" w:w="1417"/>
          </w:tcPr>
          <w:p>
            <w:r/>
            <w:r>
              <w:rPr>
                <w:sz w:val="19"/>
              </w:rPr>
              <w:t>Fev</w:t>
            </w:r>
          </w:p>
        </w:tc>
        <w:tc>
          <w:tcPr>
            <w:tcW w:type="dxa" w:w="1984"/>
          </w:tcPr>
          <w:p>
            <w:r/>
            <w:r>
              <w:rPr>
                <w:sz w:val="19"/>
              </w:rPr>
              <w:t>195,8</w:t>
            </w:r>
          </w:p>
        </w:tc>
        <w:tc>
          <w:tcPr>
            <w:tcW w:type="dxa" w:w="1417"/>
          </w:tcPr>
          <w:p>
            <w:r/>
            <w:r>
              <w:rPr>
                <w:sz w:val="19"/>
              </w:rPr>
              <w:t>Ago</w:t>
            </w:r>
          </w:p>
        </w:tc>
        <w:tc>
          <w:tcPr>
            <w:tcW w:type="dxa" w:w="1984"/>
          </w:tcPr>
          <w:p>
            <w:r/>
            <w:r>
              <w:rPr>
                <w:sz w:val="19"/>
              </w:rPr>
              <w:t>35,9</w:t>
            </w:r>
          </w:p>
        </w:tc>
      </w:tr>
      <w:tr>
        <w:tc>
          <w:tcPr>
            <w:tcW w:type="dxa" w:w="1417"/>
          </w:tcPr>
          <w:p>
            <w:r/>
            <w:r>
              <w:rPr>
                <w:sz w:val="19"/>
              </w:rPr>
              <w:t>Mar</w:t>
            </w:r>
          </w:p>
        </w:tc>
        <w:tc>
          <w:tcPr>
            <w:tcW w:type="dxa" w:w="1984"/>
          </w:tcPr>
          <w:p>
            <w:r/>
            <w:r>
              <w:rPr>
                <w:sz w:val="19"/>
              </w:rPr>
              <w:t>153,4</w:t>
            </w:r>
          </w:p>
        </w:tc>
        <w:tc>
          <w:tcPr>
            <w:tcW w:type="dxa" w:w="1417"/>
          </w:tcPr>
          <w:p>
            <w:r/>
            <w:r>
              <w:rPr>
                <w:sz w:val="19"/>
              </w:rPr>
              <w:t>Set</w:t>
            </w:r>
          </w:p>
        </w:tc>
        <w:tc>
          <w:tcPr>
            <w:tcW w:type="dxa" w:w="1984"/>
          </w:tcPr>
          <w:p>
            <w:r/>
            <w:r>
              <w:rPr>
                <w:sz w:val="19"/>
              </w:rPr>
              <w:t>70,3</w:t>
            </w:r>
          </w:p>
        </w:tc>
      </w:tr>
      <w:tr>
        <w:tc>
          <w:tcPr>
            <w:tcW w:type="dxa" w:w="1417"/>
          </w:tcPr>
          <w:p>
            <w:r/>
            <w:r>
              <w:rPr>
                <w:sz w:val="19"/>
              </w:rPr>
              <w:t>Abr</w:t>
            </w:r>
          </w:p>
        </w:tc>
        <w:tc>
          <w:tcPr>
            <w:tcW w:type="dxa" w:w="1984"/>
          </w:tcPr>
          <w:p>
            <w:r/>
            <w:r>
              <w:rPr>
                <w:sz w:val="19"/>
              </w:rPr>
              <w:t>76,1</w:t>
            </w:r>
          </w:p>
        </w:tc>
        <w:tc>
          <w:tcPr>
            <w:tcW w:type="dxa" w:w="1417"/>
          </w:tcPr>
          <w:p>
            <w:r/>
            <w:r>
              <w:rPr>
                <w:sz w:val="19"/>
              </w:rPr>
              <w:t>Out</w:t>
            </w:r>
          </w:p>
        </w:tc>
        <w:tc>
          <w:tcPr>
            <w:tcW w:type="dxa" w:w="1984"/>
          </w:tcPr>
          <w:p>
            <w:r/>
            <w:r>
              <w:rPr>
                <w:sz w:val="19"/>
              </w:rPr>
              <w:t>119,2</w:t>
            </w:r>
          </w:p>
        </w:tc>
      </w:tr>
      <w:tr>
        <w:tc>
          <w:tcPr>
            <w:tcW w:type="dxa" w:w="1417"/>
          </w:tcPr>
          <w:p>
            <w:r/>
            <w:r>
              <w:rPr>
                <w:sz w:val="19"/>
              </w:rPr>
              <w:t>Mai</w:t>
            </w:r>
          </w:p>
        </w:tc>
        <w:tc>
          <w:tcPr>
            <w:tcW w:type="dxa" w:w="1984"/>
          </w:tcPr>
          <w:p>
            <w:r/>
            <w:r>
              <w:rPr>
                <w:sz w:val="19"/>
              </w:rPr>
              <w:t>61,4</w:t>
            </w:r>
          </w:p>
        </w:tc>
        <w:tc>
          <w:tcPr>
            <w:tcW w:type="dxa" w:w="1417"/>
          </w:tcPr>
          <w:p>
            <w:r/>
            <w:r>
              <w:rPr>
                <w:sz w:val="19"/>
              </w:rPr>
              <w:t>Nov</w:t>
            </w:r>
          </w:p>
        </w:tc>
        <w:tc>
          <w:tcPr>
            <w:tcW w:type="dxa" w:w="1984"/>
          </w:tcPr>
          <w:p>
            <w:r/>
            <w:r>
              <w:rPr>
                <w:sz w:val="19"/>
              </w:rPr>
              <w:t>135,4</w:t>
            </w:r>
          </w:p>
        </w:tc>
      </w:tr>
      <w:tr>
        <w:tc>
          <w:tcPr>
            <w:tcW w:type="dxa" w:w="1417"/>
          </w:tcPr>
          <w:p>
            <w:r/>
            <w:r>
              <w:rPr>
                <w:sz w:val="19"/>
              </w:rPr>
              <w:t>Jun</w:t>
            </w:r>
          </w:p>
        </w:tc>
        <w:tc>
          <w:tcPr>
            <w:tcW w:type="dxa" w:w="1984"/>
          </w:tcPr>
          <w:p>
            <w:r/>
            <w:r>
              <w:rPr>
                <w:sz w:val="19"/>
              </w:rPr>
              <w:t>47,9</w:t>
            </w:r>
          </w:p>
        </w:tc>
        <w:tc>
          <w:tcPr>
            <w:tcW w:type="dxa" w:w="1417"/>
          </w:tcPr>
          <w:p>
            <w:r/>
            <w:r>
              <w:rPr>
                <w:sz w:val="19"/>
              </w:rPr>
              <w:t>Dez</w:t>
            </w:r>
          </w:p>
        </w:tc>
        <w:tc>
          <w:tcPr>
            <w:tcW w:type="dxa" w:w="1984"/>
          </w:tcPr>
          <w:p>
            <w:r/>
            <w:r>
              <w:rPr>
                <w:sz w:val="19"/>
              </w:rPr>
              <w:t>191,6</w:t>
            </w:r>
          </w:p>
        </w:tc>
      </w:tr>
    </w:tbl>
    <w:p>
      <w:pPr>
        <w:spacing w:after="80"/>
      </w:pPr>
    </w:p>
    <w:p>
      <w:pPr>
        <w:spacing w:after="160"/>
        <w:jc w:val="both"/>
      </w:pPr>
      <w:r>
        <w:rPr>
          <w:sz w:val="22"/>
        </w:rPr>
        <w:t>Padrão sazonal claro e fisicamente coerente: estação chuvosa de novembro a março (119 a 236 mm/mês) e seca de abril a setembro (33 a 76 mm/mês) — típico do clima tropical de altitude da região de São Paulo. Esse padrão está corretamente presente nos dados brutos, mas (ver 4.2) não se propaga para o IQA simulado.</w:t>
      </w:r>
    </w:p>
    <w:p>
      <w:pPr>
        <w:pStyle w:val="Heading2"/>
        <w:spacing w:before="280" w:after="120"/>
      </w:pPr>
      <w:r>
        <w:rPr>
          <w:color w:val="0E4C6E"/>
          <w:sz w:val="26"/>
        </w:rPr>
        <w:t>4.5 Tendência anual do IQA simulado (últimos 15 anos)</w:t>
      </w:r>
    </w:p>
    <w:p>
      <w:pPr>
        <w:spacing w:after="160"/>
        <w:jc w:val="both"/>
      </w:pPr>
      <w:r>
        <w:rPr>
          <w:sz w:val="22"/>
        </w:rPr>
        <w:t>Média anual do IQA entre 2011 e 2025: variação entre 49,0 (2024) e 53,3 (2017), sem tendência de alta ou baixa sustentada — o coeficiente de variação ao longo dos 15 anos é inferior a 3%. Isso é consistente com a proveniência autodeclarada da fonte ("simulada com base em tendências", não telemetria): dados observados reais tendem a mostrar mais ruído estrutural e eventos discretos (picos de poluição, obras, fiscalização) do que uma série que já nasce suavizada.</w:t>
      </w:r>
    </w:p>
    <w:p>
      <w:r>
        <w:br w:type="page"/>
      </w:r>
    </w:p>
    <w:p>
      <w:pPr>
        <w:pStyle w:val="Heading1"/>
        <w:spacing w:before="440" w:after="200"/>
      </w:pPr>
      <w:r>
        <w:rPr>
          <w:color w:val="0E4C6E"/>
          <w:sz w:val="32"/>
        </w:rPr>
        <w:t>5. Código de Ingestão e Tratamento (ETL)</w:t>
      </w:r>
    </w:p>
    <w:p>
      <w:pPr>
        <w:spacing w:after="160"/>
        <w:jc w:val="both"/>
      </w:pPr>
      <w:r>
        <w:rPr>
          <w:sz w:val="22"/>
        </w:rPr>
        <w:t>O projeto já possui um pipeline Bronze → Silver → Gold funcional em src/waterweave/ingestion/ e src/waterweave/transform/, orquestrado por ingestion/monthly_job.py. Esta seção documenta o que já está implementado e corretamente resolve problemas reais, e propõe o módulo que falta para fechar a lacuna do achado crítico (Seção 1).</w:t>
      </w:r>
    </w:p>
    <w:p>
      <w:pPr>
        <w:pStyle w:val="Heading2"/>
        <w:spacing w:before="280" w:after="120"/>
      </w:pPr>
      <w:r>
        <w:rPr>
          <w:color w:val="0E4C6E"/>
          <w:sz w:val="26"/>
        </w:rPr>
        <w:t>5.1 O que já está implementado e funciona corretamente</w:t>
      </w:r>
    </w:p>
    <w:p>
      <w:pPr>
        <w:pStyle w:val="ListBullet"/>
        <w:spacing w:after="80"/>
      </w:pPr>
      <w:r>
        <w:rPr>
          <w:sz w:val="22"/>
        </w:rPr>
        <w:t>Header parsing tolerante a formato (_daee_common.parse_cabecalho_daee): varre todas as células das 7 primeiras linhas em vez de assumir posição fixa, pois a formatação do cabeçalho (POSTO/RIO/LATITUDE/LONGITUDE) varia entre arquivos.</w:t>
      </w:r>
    </w:p>
    <w:p>
      <w:pPr>
        <w:pStyle w:val="ListBullet"/>
        <w:spacing w:after="80"/>
      </w:pPr>
      <w:r>
        <w:rPr>
          <w:sz w:val="22"/>
        </w:rPr>
        <w:t>Reconciliação de 2 formatos por fonte ("posto DAEE" vs. "consolidado") com fallback automático em bronze_daee_fluviometria.ingest_arquivo / bronze_daee_pluviometria.ingest_arquivo.</w:t>
      </w:r>
    </w:p>
    <w:p>
      <w:pPr>
        <w:pStyle w:val="ListBullet"/>
        <w:spacing w:after="80"/>
      </w:pPr>
      <w:r>
        <w:rPr>
          <w:sz w:val="22"/>
        </w:rPr>
        <w:t>Conversão de coordenadas GMS → decimal (silver_hidrologia.gms_para_decimal), aplicada só onde a linha ainda não trouxer coordenada decimal pronta.</w:t>
      </w:r>
    </w:p>
    <w:p>
      <w:pPr>
        <w:pStyle w:val="ListBullet"/>
        <w:spacing w:after="80"/>
      </w:pPr>
      <w:r>
        <w:rPr>
          <w:sz w:val="22"/>
        </w:rPr>
        <w:t>Deduplicação por período sobreposto via agregação (groupby + mean), não escolha arbitrária de uma linha — resolve exatamente as 716 duplicatas encontradas em bronze.pluviometria.</w:t>
      </w:r>
    </w:p>
    <w:p>
      <w:pPr>
        <w:pStyle w:val="ListBullet"/>
        <w:spacing w:after="80"/>
      </w:pPr>
      <w:r>
        <w:rPr>
          <w:sz w:val="22"/>
        </w:rPr>
        <w:t>Marcação explícita de proveniência (_fonte_tipo = observado | simulado) em toda tabela Bronze, permitindo que o restante do pipeline saiba distinguir telemetria real de proxy sintético.</w:t>
      </w:r>
    </w:p>
    <w:p>
      <w:pPr>
        <w:pStyle w:val="Heading2"/>
        <w:spacing w:before="280" w:after="120"/>
      </w:pPr>
      <w:r>
        <w:rPr>
          <w:color w:val="0E4C6E"/>
          <w:sz w:val="26"/>
        </w:rPr>
        <w:t>5.2 Trecho real: parsing tolerante de cabeçalho (_daee_common.py)</w:t>
      </w:r>
    </w:p>
    <w:p>
      <w:pPr>
        <w:spacing w:after="200"/>
        <w:ind w:left="227"/>
        <w:shd w:fill="F2F2F2"/>
      </w:pPr>
      <w:r>
        <w:rPr>
          <w:rFonts w:ascii="Consolas" w:hAnsi="Consolas"/>
          <w:color w:val="1A1A1A"/>
          <w:sz w:val="17"/>
        </w:rPr>
        <w:t>def parse_cabecalho_daee(path: Path) -&gt; dict:</w:t>
      </w:r>
      <w:r>
        <w:br/>
      </w:r>
      <w:r>
        <w:rPr>
          <w:rFonts w:ascii="Consolas" w:hAnsi="Consolas"/>
          <w:color w:val="1A1A1A"/>
          <w:sz w:val="17"/>
        </w:rPr>
        <w:t xml:space="preserve">    """Varre as primeiras linhas do relatorio em busca dos campos de metadados do posto."""</w:t>
      </w:r>
      <w:r>
        <w:br/>
      </w:r>
      <w:r>
        <w:rPr>
          <w:rFonts w:ascii="Consolas" w:hAnsi="Consolas"/>
          <w:color w:val="1A1A1A"/>
          <w:sz w:val="17"/>
        </w:rPr>
        <w:t xml:space="preserve">    bruto = pd.read_excel(path, header=None, nrows=7)</w:t>
      </w:r>
      <w:r>
        <w:br/>
      </w:r>
      <w:r>
        <w:rPr>
          <w:rFonts w:ascii="Consolas" w:hAnsi="Consolas"/>
          <w:color w:val="1A1A1A"/>
          <w:sz w:val="17"/>
        </w:rPr>
        <w:t xml:space="preserve">    metadados = {v: None for v in _HEADER_KEYS.values()}</w:t>
      </w:r>
      <w:r>
        <w:br/>
      </w:r>
      <w:r>
        <w:rPr>
          <w:rFonts w:ascii="Consolas" w:hAnsi="Consolas"/>
          <w:color w:val="1A1A1A"/>
          <w:sz w:val="17"/>
        </w:rPr>
        <w:t xml:space="preserve">    for valor in bruto.values.flatten():</w:t>
      </w:r>
      <w:r>
        <w:br/>
      </w:r>
      <w:r>
        <w:rPr>
          <w:rFonts w:ascii="Consolas" w:hAnsi="Consolas"/>
          <w:color w:val="1A1A1A"/>
          <w:sz w:val="17"/>
        </w:rPr>
        <w:t xml:space="preserve">        if not isinstance(valor, str) or ":" not in valor:</w:t>
      </w:r>
      <w:r>
        <w:br/>
      </w:r>
      <w:r>
        <w:rPr>
          <w:rFonts w:ascii="Consolas" w:hAnsi="Consolas"/>
          <w:color w:val="1A1A1A"/>
          <w:sz w:val="17"/>
        </w:rPr>
        <w:t xml:space="preserve">            continue</w:t>
      </w:r>
      <w:r>
        <w:br/>
      </w:r>
      <w:r>
        <w:rPr>
          <w:rFonts w:ascii="Consolas" w:hAnsi="Consolas"/>
          <w:color w:val="1A1A1A"/>
          <w:sz w:val="17"/>
        </w:rPr>
        <w:t xml:space="preserve">        chave_bruta, _, resto = valor.partition(":")</w:t>
      </w:r>
      <w:r>
        <w:br/>
      </w:r>
      <w:r>
        <w:rPr>
          <w:rFonts w:ascii="Consolas" w:hAnsi="Consolas"/>
          <w:color w:val="1A1A1A"/>
          <w:sz w:val="17"/>
        </w:rPr>
        <w:t xml:space="preserve">        chave = chave_bruta.strip().upper()</w:t>
      </w:r>
      <w:r>
        <w:br/>
      </w:r>
      <w:r>
        <w:rPr>
          <w:rFonts w:ascii="Consolas" w:hAnsi="Consolas"/>
          <w:color w:val="1A1A1A"/>
          <w:sz w:val="17"/>
        </w:rPr>
        <w:t xml:space="preserve">        if chave in _HEADER_KEYS:</w:t>
      </w:r>
      <w:r>
        <w:br/>
      </w:r>
      <w:r>
        <w:rPr>
          <w:rFonts w:ascii="Consolas" w:hAnsi="Consolas"/>
          <w:color w:val="1A1A1A"/>
          <w:sz w:val="17"/>
        </w:rPr>
        <w:t xml:space="preserve">            metadados[_HEADER_KEYS[chave]] = resto.strip()</w:t>
      </w:r>
      <w:r>
        <w:br/>
      </w:r>
      <w:r>
        <w:rPr>
          <w:rFonts w:ascii="Consolas" w:hAnsi="Consolas"/>
          <w:color w:val="1A1A1A"/>
          <w:sz w:val="17"/>
        </w:rPr>
        <w:t xml:space="preserve">    return metadados</w:t>
      </w:r>
    </w:p>
    <w:p>
      <w:pPr>
        <w:pStyle w:val="Heading2"/>
        <w:spacing w:before="280" w:after="120"/>
      </w:pPr>
      <w:r>
        <w:rPr>
          <w:color w:val="0E4C6E"/>
          <w:sz w:val="26"/>
        </w:rPr>
        <w:t>5.3 Lacuna a fechar: ingestão de base_de_dados_pontos.xlsx</w:t>
      </w:r>
    </w:p>
    <w:p>
      <w:pPr>
        <w:spacing w:after="160"/>
        <w:jc w:val="both"/>
      </w:pPr>
      <w:r>
        <w:rPr>
          <w:sz w:val="22"/>
        </w:rPr>
        <w:t>Proposta de novo módulo bronze_pontos_consolidados.py, seguindo exatamente o mesmo padrão dos módulos bronze_*.py já existentes (mesma assinatura run(), mesma gravação via io_delta.write_table, mesmas colunas de proveniência). Trata os 3 achados desta auditoria: (1) SEQID não é PK de linha — não usar para deduplicação; (2) Resultado_numerico e Resultado_Texto são mutuamente exclusivos — não é preciso escolher, ambos são preservados; (3) Sinal marca censura analítica (&lt;, &gt;) e deve seguir para a Silver como coluna própria, nunca descartada silenciosamente.</w:t>
      </w:r>
    </w:p>
    <w:p>
      <w:pPr>
        <w:spacing w:after="200"/>
        <w:ind w:left="227"/>
        <w:shd w:fill="F2F2F2"/>
      </w:pPr>
      <w:r>
        <w:rPr>
          <w:rFonts w:ascii="Consolas" w:hAnsi="Consolas"/>
          <w:color w:val="1A1A1A"/>
          <w:sz w:val="16"/>
        </w:rPr>
        <w:t>"""Ingestao Bronze de base_de_dados_pontos.xlsx (rede CETESB, 3 abas por periodo).</w:t>
      </w:r>
      <w:r>
        <w:br/>
      </w:r>
      <w:r>
        <w:rPr>
          <w:rFonts w:ascii="Consolas" w:hAnsi="Consolas"/>
          <w:color w:val="1A1A1A"/>
          <w:sz w:val="16"/>
        </w:rPr>
        <w:t xml:space="preserve"> </w:t>
      </w:r>
      <w:r>
        <w:br/>
      </w:r>
      <w:r>
        <w:rPr>
          <w:rFonts w:ascii="Consolas" w:hAnsi="Consolas"/>
          <w:color w:val="1A1A1A"/>
          <w:sz w:val="16"/>
        </w:rPr>
        <w:t>Formato EAV (uma linha por medicao pontual: CodPonto x Coleta_Data x Parametro),</w:t>
      </w:r>
      <w:r>
        <w:br/>
      </w:r>
      <w:r>
        <w:rPr>
          <w:rFonts w:ascii="Consolas" w:hAnsi="Consolas"/>
          <w:color w:val="1A1A1A"/>
          <w:sz w:val="16"/>
        </w:rPr>
        <w:t>nao uma tabela larga -- a pivotagem para colunas (iqa, od_mg_l, dbo_mg_l...) e</w:t>
      </w:r>
      <w:r>
        <w:br/>
      </w:r>
      <w:r>
        <w:rPr>
          <w:rFonts w:ascii="Consolas" w:hAnsi="Consolas"/>
          <w:color w:val="1A1A1A"/>
          <w:sz w:val="16"/>
        </w:rPr>
        <w:t>regra de negocio e fica em transform/silver_qualidade_cetesb.py, nao aqui.</w:t>
      </w:r>
      <w:r>
        <w:br/>
      </w:r>
      <w:r>
        <w:rPr>
          <w:rFonts w:ascii="Consolas" w:hAnsi="Consolas"/>
          <w:color w:val="1A1A1A"/>
          <w:sz w:val="16"/>
        </w:rPr>
        <w:t>"""</w:t>
      </w:r>
      <w:r>
        <w:br/>
      </w:r>
      <w:r>
        <w:rPr>
          <w:rFonts w:ascii="Consolas" w:hAnsi="Consolas"/>
          <w:color w:val="1A1A1A"/>
          <w:sz w:val="16"/>
        </w:rPr>
        <w:t>from __future__ import annotations</w:t>
      </w:r>
      <w:r>
        <w:br/>
      </w:r>
      <w:r>
        <w:rPr>
          <w:rFonts w:ascii="Consolas" w:hAnsi="Consolas"/>
          <w:color w:val="1A1A1A"/>
          <w:sz w:val="16"/>
        </w:rPr>
        <w:t xml:space="preserve"> </w:t>
      </w:r>
      <w:r>
        <w:br/>
      </w:r>
      <w:r>
        <w:rPr>
          <w:rFonts w:ascii="Consolas" w:hAnsi="Consolas"/>
          <w:color w:val="1A1A1A"/>
          <w:sz w:val="16"/>
        </w:rPr>
        <w:t>import logging</w:t>
      </w:r>
      <w:r>
        <w:br/>
      </w:r>
      <w:r>
        <w:rPr>
          <w:rFonts w:ascii="Consolas" w:hAnsi="Consolas"/>
          <w:color w:val="1A1A1A"/>
          <w:sz w:val="16"/>
        </w:rPr>
        <w:t xml:space="preserve"> </w:t>
      </w:r>
      <w:r>
        <w:br/>
      </w:r>
      <w:r>
        <w:rPr>
          <w:rFonts w:ascii="Consolas" w:hAnsi="Consolas"/>
          <w:color w:val="1A1A1A"/>
          <w:sz w:val="16"/>
        </w:rPr>
        <w:t>import pandas as pd</w:t>
      </w:r>
      <w:r>
        <w:br/>
      </w:r>
      <w:r>
        <w:rPr>
          <w:rFonts w:ascii="Consolas" w:hAnsi="Consolas"/>
          <w:color w:val="1A1A1A"/>
          <w:sz w:val="16"/>
        </w:rPr>
        <w:t xml:space="preserve"> </w:t>
      </w:r>
      <w:r>
        <w:br/>
      </w:r>
      <w:r>
        <w:rPr>
          <w:rFonts w:ascii="Consolas" w:hAnsi="Consolas"/>
          <w:color w:val="1A1A1A"/>
          <w:sz w:val="16"/>
        </w:rPr>
        <w:t>from waterweave.config import BRONZE_DIR, FONTE_TIPO_OBSERVADO, RAW_SOURCES</w:t>
      </w:r>
      <w:r>
        <w:br/>
      </w:r>
      <w:r>
        <w:rPr>
          <w:rFonts w:ascii="Consolas" w:hAnsi="Consolas"/>
          <w:color w:val="1A1A1A"/>
          <w:sz w:val="16"/>
        </w:rPr>
        <w:t>from waterweave.io_delta import write_table</w:t>
      </w:r>
      <w:r>
        <w:br/>
      </w:r>
      <w:r>
        <w:rPr>
          <w:rFonts w:ascii="Consolas" w:hAnsi="Consolas"/>
          <w:color w:val="1A1A1A"/>
          <w:sz w:val="16"/>
        </w:rPr>
        <w:t>from waterweave.ingestion._daee_common import linhas_de_proveniencia</w:t>
      </w:r>
      <w:r>
        <w:br/>
      </w:r>
      <w:r>
        <w:rPr>
          <w:rFonts w:ascii="Consolas" w:hAnsi="Consolas"/>
          <w:color w:val="1A1A1A"/>
          <w:sz w:val="16"/>
        </w:rPr>
        <w:t xml:space="preserve"> </w:t>
      </w:r>
      <w:r>
        <w:br/>
      </w:r>
      <w:r>
        <w:rPr>
          <w:rFonts w:ascii="Consolas" w:hAnsi="Consolas"/>
          <w:color w:val="1A1A1A"/>
          <w:sz w:val="16"/>
        </w:rPr>
        <w:t>logger = logging.getLogger(__name__)</w:t>
      </w:r>
      <w:r>
        <w:br/>
      </w:r>
      <w:r>
        <w:rPr>
          <w:rFonts w:ascii="Consolas" w:hAnsi="Consolas"/>
          <w:color w:val="1A1A1A"/>
          <w:sz w:val="16"/>
        </w:rPr>
        <w:t xml:space="preserve"> </w:t>
      </w:r>
      <w:r>
        <w:br/>
      </w:r>
      <w:r>
        <w:rPr>
          <w:rFonts w:ascii="Consolas" w:hAnsi="Consolas"/>
          <w:color w:val="1A1A1A"/>
          <w:sz w:val="16"/>
        </w:rPr>
        <w:t>_ABAS = ("1978_2005", "2006_2016", "2017_2024")</w:t>
      </w:r>
      <w:r>
        <w:br/>
      </w:r>
      <w:r>
        <w:rPr>
          <w:rFonts w:ascii="Consolas" w:hAnsi="Consolas"/>
          <w:color w:val="1A1A1A"/>
          <w:sz w:val="16"/>
        </w:rPr>
        <w:t xml:space="preserve"> </w:t>
      </w:r>
      <w:r>
        <w:br/>
      </w:r>
      <w:r>
        <w:rPr>
          <w:rFonts w:ascii="Consolas" w:hAnsi="Consolas"/>
          <w:color w:val="1A1A1A"/>
          <w:sz w:val="16"/>
        </w:rPr>
        <w:t>_RENOMEIA = {</w:t>
      </w:r>
      <w:r>
        <w:br/>
      </w:r>
      <w:r>
        <w:rPr>
          <w:rFonts w:ascii="Consolas" w:hAnsi="Consolas"/>
          <w:color w:val="1A1A1A"/>
          <w:sz w:val="16"/>
        </w:rPr>
        <w:t xml:space="preserve">    "SEQID": "seq_id",  # NAO e' chave unica de linha -- ver auditoria, secao 3.1</w:t>
      </w:r>
      <w:r>
        <w:br/>
      </w:r>
      <w:r>
        <w:rPr>
          <w:rFonts w:ascii="Consolas" w:hAnsi="Consolas"/>
          <w:color w:val="1A1A1A"/>
          <w:sz w:val="16"/>
        </w:rPr>
        <w:t xml:space="preserve">    "CodPonto": "codigo_ponto",</w:t>
      </w:r>
      <w:r>
        <w:br/>
      </w:r>
      <w:r>
        <w:rPr>
          <w:rFonts w:ascii="Consolas" w:hAnsi="Consolas"/>
          <w:color w:val="1A1A1A"/>
          <w:sz w:val="16"/>
        </w:rPr>
        <w:t xml:space="preserve">    "Coleta_Data": "data",</w:t>
      </w:r>
      <w:r>
        <w:br/>
      </w:r>
      <w:r>
        <w:rPr>
          <w:rFonts w:ascii="Consolas" w:hAnsi="Consolas"/>
          <w:color w:val="1A1A1A"/>
          <w:sz w:val="16"/>
        </w:rPr>
        <w:t xml:space="preserve">    "Coleta_Hora": "hora",</w:t>
      </w:r>
      <w:r>
        <w:br/>
      </w:r>
      <w:r>
        <w:rPr>
          <w:rFonts w:ascii="Consolas" w:hAnsi="Consolas"/>
          <w:color w:val="1A1A1A"/>
          <w:sz w:val="16"/>
        </w:rPr>
        <w:t xml:space="preserve">    "Parametro": "parametro",</w:t>
      </w:r>
      <w:r>
        <w:br/>
      </w:r>
      <w:r>
        <w:rPr>
          <w:rFonts w:ascii="Consolas" w:hAnsi="Consolas"/>
          <w:color w:val="1A1A1A"/>
          <w:sz w:val="16"/>
        </w:rPr>
        <w:t xml:space="preserve">    "Resultado_Texto": "resultado_texto",</w:t>
      </w:r>
      <w:r>
        <w:br/>
      </w:r>
      <w:r>
        <w:rPr>
          <w:rFonts w:ascii="Consolas" w:hAnsi="Consolas"/>
          <w:color w:val="1A1A1A"/>
          <w:sz w:val="16"/>
        </w:rPr>
        <w:t xml:space="preserve">    "Sinal": "sinal_censura",       # '&lt;' = abaixo do limite de deteccao, '&gt;' = acima da faixa</w:t>
      </w:r>
      <w:r>
        <w:br/>
      </w:r>
      <w:r>
        <w:rPr>
          <w:rFonts w:ascii="Consolas" w:hAnsi="Consolas"/>
          <w:color w:val="1A1A1A"/>
          <w:sz w:val="16"/>
        </w:rPr>
        <w:t xml:space="preserve">    "Resultado_numerico": "resultado_numerico",</w:t>
      </w:r>
      <w:r>
        <w:br/>
      </w:r>
      <w:r>
        <w:rPr>
          <w:rFonts w:ascii="Consolas" w:hAnsi="Consolas"/>
          <w:color w:val="1A1A1A"/>
          <w:sz w:val="16"/>
        </w:rPr>
        <w:t xml:space="preserve">    "SiglaUniMedda": "unidade",</w:t>
      </w:r>
      <w:r>
        <w:br/>
      </w:r>
      <w:r>
        <w:rPr>
          <w:rFonts w:ascii="Consolas" w:hAnsi="Consolas"/>
          <w:color w:val="1A1A1A"/>
          <w:sz w:val="16"/>
        </w:rPr>
        <w:t xml:space="preserve">    "SistHidrico": "sist_hidrico",</w:t>
      </w:r>
      <w:r>
        <w:br/>
      </w:r>
      <w:r>
        <w:rPr>
          <w:rFonts w:ascii="Consolas" w:hAnsi="Consolas"/>
          <w:color w:val="1A1A1A"/>
          <w:sz w:val="16"/>
        </w:rPr>
        <w:t xml:space="preserve">    "Municipio": "municipio",</w:t>
      </w:r>
      <w:r>
        <w:br/>
      </w:r>
      <w:r>
        <w:rPr>
          <w:rFonts w:ascii="Consolas" w:hAnsi="Consolas"/>
          <w:color w:val="1A1A1A"/>
          <w:sz w:val="16"/>
        </w:rPr>
        <w:t xml:space="preserve">    "UF": "uf",</w:t>
      </w:r>
      <w:r>
        <w:br/>
      </w:r>
      <w:r>
        <w:rPr>
          <w:rFonts w:ascii="Consolas" w:hAnsi="Consolas"/>
          <w:color w:val="1A1A1A"/>
          <w:sz w:val="16"/>
        </w:rPr>
        <w:t>}</w:t>
      </w:r>
      <w:r>
        <w:br/>
      </w:r>
      <w:r>
        <w:rPr>
          <w:rFonts w:ascii="Consolas" w:hAnsi="Consolas"/>
          <w:color w:val="1A1A1A"/>
          <w:sz w:val="16"/>
        </w:rPr>
        <w:t xml:space="preserve"> </w:t>
      </w:r>
      <w:r>
        <w:br/>
      </w:r>
      <w:r>
        <w:rPr>
          <w:rFonts w:ascii="Consolas" w:hAnsi="Consolas"/>
          <w:color w:val="1A1A1A"/>
          <w:sz w:val="16"/>
        </w:rPr>
        <w:t xml:space="preserve"> </w:t>
      </w:r>
      <w:r>
        <w:br/>
      </w:r>
      <w:r>
        <w:rPr>
          <w:rFonts w:ascii="Consolas" w:hAnsi="Consolas"/>
          <w:color w:val="1A1A1A"/>
          <w:sz w:val="16"/>
        </w:rPr>
        <w:t>def run() -&gt; pd.DataFrame:</w:t>
      </w:r>
      <w:r>
        <w:br/>
      </w:r>
      <w:r>
        <w:rPr>
          <w:rFonts w:ascii="Consolas" w:hAnsi="Consolas"/>
          <w:color w:val="1A1A1A"/>
          <w:sz w:val="16"/>
        </w:rPr>
        <w:t xml:space="preserve">    """Le as 3 abas (periodos) de base_de_dados_pontos.xlsx e grava em Bronze."""</w:t>
      </w:r>
      <w:r>
        <w:br/>
      </w:r>
      <w:r>
        <w:rPr>
          <w:rFonts w:ascii="Consolas" w:hAnsi="Consolas"/>
          <w:color w:val="1A1A1A"/>
          <w:sz w:val="16"/>
        </w:rPr>
        <w:t xml:space="preserve">    caminho = RAW_SOURCES["pontos_consolidados"]</w:t>
      </w:r>
      <w:r>
        <w:br/>
      </w:r>
      <w:r>
        <w:rPr>
          <w:rFonts w:ascii="Consolas" w:hAnsi="Consolas"/>
          <w:color w:val="1A1A1A"/>
          <w:sz w:val="16"/>
        </w:rPr>
        <w:t xml:space="preserve">    partes = [pd.read_excel(caminho, sheet_name=aba) for aba in _ABAS]</w:t>
      </w:r>
      <w:r>
        <w:br/>
      </w:r>
      <w:r>
        <w:rPr>
          <w:rFonts w:ascii="Consolas" w:hAnsi="Consolas"/>
          <w:color w:val="1A1A1A"/>
          <w:sz w:val="16"/>
        </w:rPr>
        <w:t xml:space="preserve">    tabela = pd.concat(partes, ignore_index=True)</w:t>
      </w:r>
      <w:r>
        <w:br/>
      </w:r>
      <w:r>
        <w:rPr>
          <w:rFonts w:ascii="Consolas" w:hAnsi="Consolas"/>
          <w:color w:val="1A1A1A"/>
          <w:sz w:val="16"/>
        </w:rPr>
        <w:t xml:space="preserve">    tabela = tabela.rename(columns=_RENOMEIA)</w:t>
      </w:r>
      <w:r>
        <w:br/>
      </w:r>
      <w:r>
        <w:rPr>
          <w:rFonts w:ascii="Consolas" w:hAnsi="Consolas"/>
          <w:color w:val="1A1A1A"/>
          <w:sz w:val="16"/>
        </w:rPr>
        <w:t xml:space="preserve"> </w:t>
      </w:r>
      <w:r>
        <w:br/>
      </w:r>
      <w:r>
        <w:rPr>
          <w:rFonts w:ascii="Consolas" w:hAnsi="Consolas"/>
          <w:color w:val="1A1A1A"/>
          <w:sz w:val="16"/>
        </w:rPr>
        <w:t xml:space="preserve">    # Chave real da medicao (SEQID nao serve -- repete por ponto, nao por linha)</w:t>
      </w:r>
      <w:r>
        <w:br/>
      </w:r>
      <w:r>
        <w:rPr>
          <w:rFonts w:ascii="Consolas" w:hAnsi="Consolas"/>
          <w:color w:val="1A1A1A"/>
          <w:sz w:val="16"/>
        </w:rPr>
        <w:t xml:space="preserve">    tabela["medicao_id"] = (</w:t>
      </w:r>
      <w:r>
        <w:br/>
      </w:r>
      <w:r>
        <w:rPr>
          <w:rFonts w:ascii="Consolas" w:hAnsi="Consolas"/>
          <w:color w:val="1A1A1A"/>
          <w:sz w:val="16"/>
        </w:rPr>
        <w:t xml:space="preserve">        tabela["codigo_ponto"].astype(str) + "|"</w:t>
      </w:r>
      <w:r>
        <w:br/>
      </w:r>
      <w:r>
        <w:rPr>
          <w:rFonts w:ascii="Consolas" w:hAnsi="Consolas"/>
          <w:color w:val="1A1A1A"/>
          <w:sz w:val="16"/>
        </w:rPr>
        <w:t xml:space="preserve">        + tabela["data"].astype(str) + "|"</w:t>
      </w:r>
      <w:r>
        <w:br/>
      </w:r>
      <w:r>
        <w:rPr>
          <w:rFonts w:ascii="Consolas" w:hAnsi="Consolas"/>
          <w:color w:val="1A1A1A"/>
          <w:sz w:val="16"/>
        </w:rPr>
        <w:t xml:space="preserve">        + tabela["hora"].astype(str) + "|"</w:t>
      </w:r>
      <w:r>
        <w:br/>
      </w:r>
      <w:r>
        <w:rPr>
          <w:rFonts w:ascii="Consolas" w:hAnsi="Consolas"/>
          <w:color w:val="1A1A1A"/>
          <w:sz w:val="16"/>
        </w:rPr>
        <w:t xml:space="preserve">        + tabela["parametro"].astype(str)</w:t>
      </w:r>
      <w:r>
        <w:br/>
      </w:r>
      <w:r>
        <w:rPr>
          <w:rFonts w:ascii="Consolas" w:hAnsi="Consolas"/>
          <w:color w:val="1A1A1A"/>
          <w:sz w:val="16"/>
        </w:rPr>
        <w:t xml:space="preserve">    )</w:t>
      </w:r>
      <w:r>
        <w:br/>
      </w:r>
      <w:r>
        <w:rPr>
          <w:rFonts w:ascii="Consolas" w:hAnsi="Consolas"/>
          <w:color w:val="1A1A1A"/>
          <w:sz w:val="16"/>
        </w:rPr>
        <w:t xml:space="preserve"> </w:t>
      </w:r>
      <w:r>
        <w:br/>
      </w:r>
      <w:r>
        <w:rPr>
          <w:rFonts w:ascii="Consolas" w:hAnsi="Consolas"/>
          <w:color w:val="1A1A1A"/>
          <w:sz w:val="16"/>
        </w:rPr>
        <w:t xml:space="preserve">    for coluna, valores in linhas_de_proveniencia(len(tabela), caminho, FONTE_TIPO_OBSERVADO).items():</w:t>
      </w:r>
      <w:r>
        <w:br/>
      </w:r>
      <w:r>
        <w:rPr>
          <w:rFonts w:ascii="Consolas" w:hAnsi="Consolas"/>
          <w:color w:val="1A1A1A"/>
          <w:sz w:val="16"/>
        </w:rPr>
        <w:t xml:space="preserve">        tabela[coluna] = valores</w:t>
      </w:r>
      <w:r>
        <w:br/>
      </w:r>
      <w:r>
        <w:rPr>
          <w:rFonts w:ascii="Consolas" w:hAnsi="Consolas"/>
          <w:color w:val="1A1A1A"/>
          <w:sz w:val="16"/>
        </w:rPr>
        <w:t xml:space="preserve"> </w:t>
      </w:r>
      <w:r>
        <w:br/>
      </w:r>
      <w:r>
        <w:rPr>
          <w:rFonts w:ascii="Consolas" w:hAnsi="Consolas"/>
          <w:color w:val="1A1A1A"/>
          <w:sz w:val="16"/>
        </w:rPr>
        <w:t xml:space="preserve">    write_table(BRONZE_DIR / "pontos_cetesb", tabela, partition_by=["sist_hidrico"])</w:t>
      </w:r>
      <w:r>
        <w:br/>
      </w:r>
      <w:r>
        <w:rPr>
          <w:rFonts w:ascii="Consolas" w:hAnsi="Consolas"/>
          <w:color w:val="1A1A1A"/>
          <w:sz w:val="16"/>
        </w:rPr>
        <w:t xml:space="preserve">    logger.info(</w:t>
      </w:r>
      <w:r>
        <w:br/>
      </w:r>
      <w:r>
        <w:rPr>
          <w:rFonts w:ascii="Consolas" w:hAnsi="Consolas"/>
          <w:color w:val="1A1A1A"/>
          <w:sz w:val="16"/>
        </w:rPr>
        <w:t xml:space="preserve">        "Bronze pontos_cetesb: %d linhas de %d pontos.",</w:t>
      </w:r>
      <w:r>
        <w:br/>
      </w:r>
      <w:r>
        <w:rPr>
          <w:rFonts w:ascii="Consolas" w:hAnsi="Consolas"/>
          <w:color w:val="1A1A1A"/>
          <w:sz w:val="16"/>
        </w:rPr>
        <w:t xml:space="preserve">        len(tabela), tabela["codigo_ponto"].nunique(),</w:t>
      </w:r>
      <w:r>
        <w:br/>
      </w:r>
      <w:r>
        <w:rPr>
          <w:rFonts w:ascii="Consolas" w:hAnsi="Consolas"/>
          <w:color w:val="1A1A1A"/>
          <w:sz w:val="16"/>
        </w:rPr>
        <w:t xml:space="preserve">    )</w:t>
      </w:r>
      <w:r>
        <w:br/>
      </w:r>
      <w:r>
        <w:rPr>
          <w:rFonts w:ascii="Consolas" w:hAnsi="Consolas"/>
          <w:color w:val="1A1A1A"/>
          <w:sz w:val="16"/>
        </w:rPr>
        <w:t xml:space="preserve">    return tabela</w:t>
      </w:r>
      <w:r>
        <w:br/>
      </w:r>
      <w:r>
        <w:rPr>
          <w:rFonts w:ascii="Consolas" w:hAnsi="Consolas"/>
          <w:color w:val="1A1A1A"/>
          <w:sz w:val="16"/>
        </w:rPr>
        <w:t xml:space="preserve"> </w:t>
      </w:r>
      <w:r>
        <w:br/>
      </w:r>
      <w:r>
        <w:rPr>
          <w:rFonts w:ascii="Consolas" w:hAnsi="Consolas"/>
          <w:color w:val="1A1A1A"/>
          <w:sz w:val="16"/>
        </w:rPr>
        <w:t xml:space="preserve"> </w:t>
      </w:r>
      <w:r>
        <w:br/>
      </w:r>
      <w:r>
        <w:rPr>
          <w:rFonts w:ascii="Consolas" w:hAnsi="Consolas"/>
          <w:color w:val="1A1A1A"/>
          <w:sz w:val="16"/>
        </w:rPr>
        <w:t>if __name__ == "__main__":</w:t>
      </w:r>
      <w:r>
        <w:br/>
      </w:r>
      <w:r>
        <w:rPr>
          <w:rFonts w:ascii="Consolas" w:hAnsi="Consolas"/>
          <w:color w:val="1A1A1A"/>
          <w:sz w:val="16"/>
        </w:rPr>
        <w:t xml:space="preserve">    logging.basicConfig(level=logging.INFO)</w:t>
      </w:r>
      <w:r>
        <w:br/>
      </w:r>
      <w:r>
        <w:rPr>
          <w:rFonts w:ascii="Consolas" w:hAnsi="Consolas"/>
          <w:color w:val="1A1A1A"/>
          <w:sz w:val="16"/>
        </w:rPr>
        <w:t xml:space="preserve">    run()</w:t>
      </w:r>
    </w:p>
    <w:p>
      <w:pPr>
        <w:pStyle w:val="Heading2"/>
        <w:spacing w:before="280" w:after="120"/>
      </w:pPr>
      <w:r>
        <w:rPr>
          <w:color w:val="0E4C6E"/>
          <w:sz w:val="26"/>
        </w:rPr>
        <w:t>5.4 Correção de encoding (mojibake em colunas de texto)</w:t>
      </w:r>
    </w:p>
    <w:p>
      <w:pPr>
        <w:spacing w:after="160"/>
        <w:jc w:val="both"/>
      </w:pPr>
      <w:r>
        <w:rPr>
          <w:sz w:val="22"/>
        </w:rPr>
        <w:t>Várias colunas de texto ("Região", "Município", nomes de parâmetros) aparecem corrompidas ao ler as planilhas na máquina de análise (ex.: "Regi�o" em vez de "Região"). É um problema de leitura/exibição, não de conteúdo: o valor correto existe no arquivo, mas o driver padrão do pandas/openpyxl nesta máquina não está decodificando os acentos. Correção simples a aplicar em qualquer leitura de string antes de gravar em Bronze:</w:t>
      </w:r>
    </w:p>
    <w:p>
      <w:pPr>
        <w:spacing w:after="200"/>
        <w:ind w:left="227"/>
        <w:shd w:fill="F2F2F2"/>
      </w:pPr>
      <w:r>
        <w:rPr>
          <w:rFonts w:ascii="Consolas" w:hAnsi="Consolas"/>
          <w:color w:val="1A1A1A"/>
          <w:sz w:val="17"/>
        </w:rPr>
        <w:t>def normalizar_texto(serie: pd.Series) -&gt; pd.Series:</w:t>
      </w:r>
      <w:r>
        <w:br/>
      </w:r>
      <w:r>
        <w:rPr>
          <w:rFonts w:ascii="Consolas" w:hAnsi="Consolas"/>
          <w:color w:val="1A1A1A"/>
          <w:sz w:val="17"/>
        </w:rPr>
        <w:t xml:space="preserve">    """Corrige mojibake comum (UTF-8 lido como Latin-1) em colunas de texto."""</w:t>
      </w:r>
      <w:r>
        <w:br/>
      </w:r>
      <w:r>
        <w:rPr>
          <w:rFonts w:ascii="Consolas" w:hAnsi="Consolas"/>
          <w:color w:val="1A1A1A"/>
          <w:sz w:val="17"/>
        </w:rPr>
        <w:t xml:space="preserve">    def _corrigir(valor):</w:t>
      </w:r>
      <w:r>
        <w:br/>
      </w:r>
      <w:r>
        <w:rPr>
          <w:rFonts w:ascii="Consolas" w:hAnsi="Consolas"/>
          <w:color w:val="1A1A1A"/>
          <w:sz w:val="17"/>
        </w:rPr>
        <w:t xml:space="preserve">        if not isinstance(valor, str):</w:t>
      </w:r>
      <w:r>
        <w:br/>
      </w:r>
      <w:r>
        <w:rPr>
          <w:rFonts w:ascii="Consolas" w:hAnsi="Consolas"/>
          <w:color w:val="1A1A1A"/>
          <w:sz w:val="17"/>
        </w:rPr>
        <w:t xml:space="preserve">            return valor</w:t>
      </w:r>
      <w:r>
        <w:br/>
      </w:r>
      <w:r>
        <w:rPr>
          <w:rFonts w:ascii="Consolas" w:hAnsi="Consolas"/>
          <w:color w:val="1A1A1A"/>
          <w:sz w:val="17"/>
        </w:rPr>
        <w:t xml:space="preserve">        try:</w:t>
      </w:r>
      <w:r>
        <w:br/>
      </w:r>
      <w:r>
        <w:rPr>
          <w:rFonts w:ascii="Consolas" w:hAnsi="Consolas"/>
          <w:color w:val="1A1A1A"/>
          <w:sz w:val="17"/>
        </w:rPr>
        <w:t xml:space="preserve">            return valor.encode("latin-1").decode("utf-8")</w:t>
      </w:r>
      <w:r>
        <w:br/>
      </w:r>
      <w:r>
        <w:rPr>
          <w:rFonts w:ascii="Consolas" w:hAnsi="Consolas"/>
          <w:color w:val="1A1A1A"/>
          <w:sz w:val="17"/>
        </w:rPr>
        <w:t xml:space="preserve">        except (UnicodeDecodeError, UnicodeEncodeError):</w:t>
      </w:r>
      <w:r>
        <w:br/>
      </w:r>
      <w:r>
        <w:rPr>
          <w:rFonts w:ascii="Consolas" w:hAnsi="Consolas"/>
          <w:color w:val="1A1A1A"/>
          <w:sz w:val="17"/>
        </w:rPr>
        <w:t xml:space="preserve">            return valor</w:t>
      </w:r>
      <w:r>
        <w:br/>
      </w:r>
      <w:r>
        <w:rPr>
          <w:rFonts w:ascii="Consolas" w:hAnsi="Consolas"/>
          <w:color w:val="1A1A1A"/>
          <w:sz w:val="17"/>
        </w:rPr>
        <w:t xml:space="preserve">    return serie.apply(_corrigir)</w:t>
      </w:r>
    </w:p>
    <w:p>
      <w:r>
        <w:br w:type="page"/>
      </w:r>
    </w:p>
    <w:p>
      <w:pPr>
        <w:pStyle w:val="Heading1"/>
        <w:spacing w:before="440" w:after="200"/>
      </w:pPr>
      <w:r>
        <w:rPr>
          <w:color w:val="0E4C6E"/>
          <w:sz w:val="32"/>
        </w:rPr>
        <w:t>6. Recomendações de Próximos Passos</w:t>
      </w:r>
    </w:p>
    <w:p>
      <w:pPr>
        <w:pStyle w:val="Heading2"/>
        <w:spacing w:before="280" w:after="120"/>
      </w:pPr>
      <w:r>
        <w:rPr>
          <w:color w:val="0E4C6E"/>
          <w:sz w:val="26"/>
        </w:rPr>
        <w:t>Prioridade 1 — Fechar o gap de base_de_dados_pontos.xlsx</w:t>
      </w:r>
    </w:p>
    <w:p>
      <w:pPr>
        <w:spacing w:after="160"/>
        <w:jc w:val="both"/>
      </w:pPr>
      <w:r>
        <w:rPr>
          <w:sz w:val="22"/>
        </w:rPr>
        <w:t>Implementar bronze_pontos_consolidados.py (proposto na Seção 5.3), registrá-lo em monthly_job.run_bronze_static_sources(), e criar transform/silver_qualidade_cetesb.py que filtre para os 32 pontos do eixo Tietê e pivote os 363 parâmetros em colunas (iqa calculado, od_mg_l, dbo_mg_l, turbidez_ntu, etc.), tratando Sinal='&lt;' com o valor do limite de detecção dividido por 2 (convenção padrão em química analítica) em vez de ignorar a censura. Isso substituiria — ou, mais conservadoramente, passaria a coexistir lado a lado com — a série simulada de 258 linhas, dando ao dashboard, ao ABM e aos modelos de ML acesso a 46 anos de telemetria real.</w:t>
      </w:r>
    </w:p>
    <w:p>
      <w:pPr>
        <w:pStyle w:val="Heading2"/>
        <w:spacing w:before="280" w:after="120"/>
      </w:pPr>
      <w:r>
        <w:rPr>
          <w:color w:val="0E4C6E"/>
          <w:sz w:val="26"/>
        </w:rPr>
        <w:t>Prioridade 2 — De-para entre redes DAEE e CETESB</w:t>
      </w:r>
    </w:p>
    <w:p>
      <w:pPr>
        <w:spacing w:after="160"/>
        <w:jc w:val="both"/>
      </w:pPr>
      <w:r>
        <w:rPr>
          <w:sz w:val="22"/>
        </w:rPr>
        <w:t>Hoje não há ligação por proximidade geográfica entre postos de vazão/chuva (DAEE) e pontos de qualidade (CETESB) — a união só acontece por trecho inteiro. Um de-para por distância haversine entre (latitude, longitude) de cada posto DAEE e o CodPonto CETESB mais próximo permitiria granularidade por sub-região dentro do trecho, não só por trecho inteiro.</w:t>
      </w:r>
    </w:p>
    <w:p>
      <w:pPr>
        <w:pStyle w:val="Heading2"/>
        <w:spacing w:before="280" w:after="120"/>
      </w:pPr>
      <w:r>
        <w:rPr>
          <w:color w:val="0E4C6E"/>
          <w:sz w:val="26"/>
        </w:rPr>
        <w:t>Prioridade 3 — Corrigir encoding e validar faixas por parâmetro</w:t>
      </w:r>
    </w:p>
    <w:p>
      <w:pPr>
        <w:pStyle w:val="ListBullet"/>
        <w:spacing w:after="80"/>
      </w:pPr>
      <w:r>
        <w:rPr>
          <w:sz w:val="22"/>
        </w:rPr>
        <w:t>Aplicar a normalização de encoding (Seção 5.4) em toda leitura de planilha do projeto.</w:t>
      </w:r>
    </w:p>
    <w:p>
      <w:pPr>
        <w:pStyle w:val="ListBullet"/>
        <w:spacing w:after="80"/>
      </w:pPr>
      <w:r>
        <w:rPr>
          <w:sz w:val="22"/>
        </w:rPr>
        <w:t>Adicionar validação de faixa plausível por Parametro antes de qualquer análise — o outlier de 9x10⁹ em Resultado_numerico não pode ser tratado com um limite global único, já que os 363 parâmetros têm escalas naturais completamente diferentes (pH de 0–14 vs. contagens de coliformes na casa dos milhões).</w:t>
      </w:r>
    </w:p>
    <w:p>
      <w:pPr>
        <w:pStyle w:val="Heading2"/>
        <w:spacing w:before="280" w:after="120"/>
      </w:pPr>
      <w:r>
        <w:rPr>
          <w:color w:val="0E4C6E"/>
          <w:sz w:val="26"/>
        </w:rPr>
        <w:t>Prioridade 4 — Rebalancear cobertura por trecho</w:t>
      </w:r>
    </w:p>
    <w:p>
      <w:pPr>
        <w:spacing w:after="160"/>
        <w:jc w:val="both"/>
      </w:pPr>
      <w:r>
        <w:rPr>
          <w:sz w:val="22"/>
        </w:rPr>
        <w:t>Investigar por que o Médio Tietê tem apenas 27 arquivos brutos (vs. 196 do Alto Tietê) — se é uma limitação real da rede de monitoramento DAEE nessa região ou apenas uma lacuna na coleta dos arquivos para este projeto. Enquanto o gap não for resolvido, sinalizar explicitamente no dashboard quando um valor de vazão/chuva do Médio Tietê tiver menos de N postos de sustentação (a coluna n_postos_vazao/n_postos_chuva já existe na Gold para isso — falta só usá-la como indicador de confiança na interface).</w:t>
      </w:r>
    </w:p>
    <w:p>
      <w:pPr>
        <w:pStyle w:val="Heading2"/>
        <w:spacing w:before="280" w:after="120"/>
      </w:pPr>
      <w:r>
        <w:rPr>
          <w:color w:val="0E4C6E"/>
          <w:sz w:val="26"/>
        </w:rPr>
        <w:t>Prioridade 5 — Governança de proveniência mais visível</w:t>
      </w:r>
    </w:p>
    <w:p>
      <w:pPr>
        <w:spacing w:after="160"/>
        <w:jc w:val="both"/>
      </w:pPr>
      <w:r>
        <w:rPr>
          <w:sz w:val="22"/>
        </w:rPr>
        <w:t>O campo fonte_tipo (observado/simulado) já existe em todas as camadas — a recomendação aqui é de UX/governança, não de dado: tornar essa distinção visível diretamente nos gráficos do dashboard (ex.: linha tracejada para simulado vs. linha sólida para observado), não só como metadado interno, para que qualquer leitor do relatório saiba, sem precisar ler o código, quando está olhando telemetria real ou proxy sintético.</w:t>
      </w:r>
    </w:p>
    <w:p>
      <w:pPr>
        <w:pStyle w:val="Heading2"/>
        <w:spacing w:before="280" w:after="120"/>
      </w:pPr>
      <w:r>
        <w:rPr>
          <w:color w:val="0E4C6E"/>
          <w:sz w:val="26"/>
        </w:rPr>
        <w:t>Sugestões de dashboard/relatório</w:t>
      </w:r>
    </w:p>
    <w:p>
      <w:pPr>
        <w:pStyle w:val="ListBullet"/>
        <w:spacing w:after="80"/>
      </w:pPr>
      <w:r>
        <w:rPr>
          <w:sz w:val="22"/>
        </w:rPr>
        <w:t>Nova página "Qualidade dos Dados" no app, reaproveitando as tabelas desta auditoria (atualizada automaticamente a cada rodada do monthly_job).</w:t>
      </w:r>
    </w:p>
    <w:p>
      <w:pPr>
        <w:pStyle w:val="ListBullet"/>
        <w:spacing w:after="80"/>
      </w:pPr>
      <w:r>
        <w:rPr>
          <w:sz w:val="22"/>
        </w:rPr>
        <w:t>Selo de confiança por trecho/mês baseado em n_postos_vazao/n_postos_chuva.</w:t>
      </w:r>
    </w:p>
    <w:p>
      <w:pPr>
        <w:pStyle w:val="ListBullet"/>
        <w:spacing w:after="80"/>
      </w:pPr>
      <w:r>
        <w:rPr>
          <w:sz w:val="22"/>
        </w:rPr>
        <w:t>Alerta automático quando uma nova rodada de ingestão apresentar taxa de nulos ou duplicatas acima do baseline documentado nesta auditoria (ex.: variação súbita de linhas 100% duplicadas).</w:t>
      </w:r>
    </w:p>
    <w:p>
      <w:r>
        <w:br w:type="page"/>
      </w:r>
    </w:p>
    <w:p>
      <w:pPr>
        <w:pStyle w:val="Heading1"/>
        <w:spacing w:before="440" w:after="200"/>
      </w:pPr>
      <w:r>
        <w:rPr>
          <w:color w:val="0E4C6E"/>
          <w:sz w:val="32"/>
        </w:rPr>
        <w:t>7. Atualização (2026-07): Fechamento do Achado Crítico e Três Novas Fontes Reais</w:t>
      </w:r>
    </w:p>
    <w:p>
      <w:pPr>
        <w:spacing w:after="160"/>
        <w:jc w:val="both"/>
      </w:pPr>
      <w:r>
        <w:rPr>
          <w:sz w:val="22"/>
        </w:rPr>
        <w:t>Esta seção documenta o que mudou desde a auditoria original acima (Seções 1-6): o achado crítico foi fechado, e três novas fontes de dado real — inexistentes ou apenas simuladas na auditoria original — foram integradas ao pipeline. Mesmo padrão de rigor: números direto do pipeline materializado, não estimativas.</w:t>
      </w:r>
    </w:p>
    <w:p>
      <w:pPr>
        <w:pStyle w:val="Heading2"/>
        <w:spacing w:before="280" w:after="120"/>
      </w:pPr>
      <w:r>
        <w:rPr>
          <w:color w:val="0E4C6E"/>
          <w:sz w:val="26"/>
        </w:rPr>
        <w:t>7.1 Achado crítico original: FECHADO</w:t>
      </w:r>
    </w:p>
    <w:p>
      <w:pPr>
        <w:spacing w:after="160"/>
        <w:jc w:val="both"/>
      </w:pPr>
      <w:r>
        <w:rPr>
          <w:sz w:val="22"/>
        </w:rPr>
        <w:t>bronze_cetesb.py (implementado com um desenho equivalente ao proposto na Seção 5.3, embora com nome de módulo diferente) hoje lê as 2.397.437 medições reais de base_de_dados_pontos.xlsx. silver_qualidade_cetesb.py filtra para os 32 pontos do eixo Tietê e pivota os parâmetros em colunas (iqa, od_mg_l, dbo_mg_l, metais_pesados_ppm). qualidade_real_com_fallback_simulado() (transform/gold_features.py) prioriza esse dado real sobre a planilha simulada de 258 linhas em toda linha (trecho, ano) onde os dois existem — a planilha simulada passou a servir só de preenchimento para 1940-1977 (antes do início da série real) e lacunas pontuais. Testes de guarda (tests/test_pipeline_paridade.py) impedem que uma fonte declarada em RAW_SOURCES fique sem módulo de ingestão correspondente sem que isso seja uma decisão consciente.</w:t>
      </w:r>
    </w:p>
    <w:p>
      <w:pPr>
        <w:pStyle w:val="Heading2"/>
        <w:spacing w:before="280" w:after="120"/>
      </w:pPr>
      <w:r>
        <w:rPr>
          <w:color w:val="0E4C6E"/>
          <w:sz w:val="26"/>
        </w:rPr>
        <w:t>7.2 Nova fonte real: uso do solo (MapBiomas / Google Earth Engine)</w:t>
      </w:r>
    </w:p>
    <w:p>
      <w:pPr>
        <w:spacing w:after="160"/>
        <w:jc w:val="both"/>
      </w:pPr>
      <w:r>
        <w:rPr>
          <w:sz w:val="22"/>
        </w:rPr>
        <w:t>Na auditoria original, uso do solo só existia como texto categórico simulado ("Metropolitano/Industrial" etc.) em silver.qualidade. connectors/mapbiomas.py (novo) busca, via reduceRegion no servidor do Google Earth Engine, o percentual de área por macro-categoria (natural/agropecuária/urbano-industrial/água) da Coleção 9 do MapBiomas (1985-2023), num buffer de 5 km ao redor das estações reais de cada trecho. Resultado real: Alto Tietê urbanizou de 44,2% para 55,6% em 39 anos; Médio Tietê segue predominantemente agropecuário (70% em 2023); Baixo Tietê não registra nenhuma área urbano-industrial no buffer das suas 2 estações reais. Essa variável já entra como preditora real nos modelos de ML (antes um substituto categórico grosseiro, trecho_id).</w:t>
      </w:r>
    </w:p>
    <w:p>
      <w:pPr>
        <w:pStyle w:val="Heading2"/>
        <w:spacing w:before="280" w:after="120"/>
      </w:pPr>
      <w:r>
        <w:rPr>
          <w:color w:val="0E4C6E"/>
          <w:sz w:val="26"/>
        </w:rPr>
        <w:t>7.3 Nova fonte real: sensoriamento remoto histórico (Landsat / Google Earth Engine)</w:t>
      </w:r>
    </w:p>
    <w:p>
      <w:pPr>
        <w:spacing w:after="160"/>
        <w:jc w:val="both"/>
      </w:pPr>
      <w:r>
        <w:rPr>
          <w:sz w:val="22"/>
        </w:rPr>
        <w:t>A planilha Sensoriamento_Remoto_Rio_Tiete.xlsx (14 linhas, autodeclarada "Simulação Consolidada") permanece como fallback, mas connectors/sensoriamento_historico.py (novo) busca a série histórica REAL (NDVI, temperatura de superfície, proxy de turbidez via NDTI) via Landsat Collection 2 (satélites 5/7/8/9, sem lacuna, 1984-presente). Primeira execução real: 903 observações, 7 pontos de monitoramento, 1984-2026. A fusão com a planilha ilustrativa (sensoriamento_real_com_fallback_ilustrativo, mesmo padrão de prioridade real &gt; simulado da Seção 7.1) resultou em 126 dos 129 registros (trecho, ano) de gold.sensoriamento_trecho_ano hoje 100% reais.</w:t>
      </w:r>
    </w:p>
    <w:p>
      <w:pPr>
        <w:spacing w:after="160"/>
        <w:jc w:val="both"/>
      </w:pPr>
      <w:r>
        <w:rPr>
          <w:sz w:val="22"/>
        </w:rPr>
        <w:t>Ressalva de engenharia (mesmo padrão de honestidade desta auditoria): os índices espectrais nunca foram calibrados contra medição in situ do Tietê — plausíveis à luz da literatura geral (NDVI de mata ciliar preservada esperado em 0,6-0,85; o Médio Tietê real mede 0,63 em média), mas o proxy de turbidez (NDTI) NÃO é a Turbidez em NTU da CETESB, e não há par (imagem, medição simultânea) disponível neste projeto para uma regressão de calibração formal.</w:t>
      </w:r>
    </w:p>
    <w:p>
      <w:pPr>
        <w:pStyle w:val="Heading2"/>
        <w:spacing w:before="280" w:after="120"/>
      </w:pPr>
      <w:r>
        <w:rPr>
          <w:color w:val="0E4C6E"/>
          <w:sz w:val="26"/>
        </w:rPr>
        <w:t>7.4 Nova fonte real: clima (ERA5 / CMIP6 via Copernicus Climate Data Store)</w:t>
      </w:r>
    </w:p>
    <w:p>
      <w:pPr>
        <w:spacing w:after="160"/>
        <w:jc w:val="both"/>
      </w:pPr>
      <w:r>
        <w:rPr>
          <w:sz w:val="22"/>
        </w:rPr>
        <w:t>connectors/era5_cmip6.py busca reanálise histórica ERA5 (temperatura/precipitação mensal observada) e projeções futuras CMIP6 (cenários de emissão SSP1-2.6/SSP2-4.5/SSP5-8.5). A primeira execução real revelou três divergências entre a documentação pública da API e o comportamento real do serviço, corrigidas antes de qualquer número ser aceito como válido:</w:t>
      </w:r>
    </w:p>
    <w:p>
      <w:pPr>
        <w:pStyle w:val="ListBullet"/>
        <w:spacing w:after="80"/>
      </w:pPr>
      <w:r>
        <w:rPr>
          <w:sz w:val="22"/>
        </w:rPr>
        <w:t>ERA5: mesmo pedindo um único arquivo NetCDF, a API retorna temperatura e precipitação em DOIS arquivos separados dentro de um .zip, com horários nominalmente diferentes dentro do mesmo mês — corrigido fundindo por mês-calendário em vez de timestamp exato.</w:t>
      </w:r>
    </w:p>
    <w:p>
      <w:pPr>
        <w:pStyle w:val="ListBullet"/>
        <w:spacing w:after="80"/>
      </w:pPr>
      <w:r>
        <w:rPr>
          <w:sz w:val="22"/>
        </w:rPr>
        <w:t>CMIP6: o id técnico de cenário usa sublinhados entre dígitos ("ssp2_4_5", não "ssp245" como a documentação de exemplos sugere); o parâmetro de nível vertical não deve ser enviado para variáveis de superfície (o conjunto de níveis válidos é vazio para elas); e pedir temperatura e precipitação na mesma requisição faz a API descartar a precipitação em silêncio, sem erro — corrigido fazendo uma requisição por variável.</w:t>
      </w:r>
    </w:p>
    <w:p>
      <w:pPr>
        <w:spacing w:after="160"/>
        <w:jc w:val="both"/>
      </w:pPr>
      <w:r>
        <w:rPr>
          <w:sz w:val="22"/>
        </w:rPr>
        <w:t>Resultado real, já validado: a calibração do fator climático usado no modelo baseado em agentes (baseline CMIP6 historical 1995-2014 vs. projeção SSP5-8.5 2040-2060, modelo mpi_esm1_2_lr) retornou um fator de 0,982 — o cenário de emissões mais extremo do IPCC AR6 fica apenas ~1,8% mais seco que o baseline, muito menos severo que o proxy fixo de -25% usado até então no cenário "Mudança Climática Extrema" do ABM. Este número, baseado em um único modelo CMIP6 (não um ensemble), já substitui o proxy fixo em produção.</w:t>
      </w:r>
    </w:p>
    <w:p>
      <w:pPr>
        <w:pStyle w:val="Heading2"/>
        <w:spacing w:before="280" w:after="120"/>
      </w:pPr>
      <w:r>
        <w:rPr>
          <w:color w:val="0E4C6E"/>
          <w:sz w:val="26"/>
        </w:rPr>
        <w:t>7.5 Recomendações adicionais</w:t>
      </w:r>
    </w:p>
    <w:p>
      <w:pPr>
        <w:pStyle w:val="ListBullet"/>
        <w:spacing w:after="80"/>
      </w:pPr>
      <w:r>
        <w:rPr>
          <w:sz w:val="22"/>
        </w:rPr>
        <w:t>Ensemble multi-modelo CMIP6 (hoje um único modelo, mpi_esm1_2_lr) para reduzir incerteza estrutural antes de tratar o fator climático calibrado como definitivo.</w:t>
      </w:r>
    </w:p>
    <w:p>
      <w:pPr>
        <w:pStyle w:val="ListBullet"/>
        <w:spacing w:after="80"/>
      </w:pPr>
      <w:r>
        <w:rPr>
          <w:sz w:val="22"/>
        </w:rPr>
        <w:t>Religar a reanálise ERA5 para calibrar a variabilidade climática do ABM, hoje calculada só a partir da climatologia pluviométrica DAEE.</w:t>
      </w:r>
    </w:p>
    <w:p>
      <w:pPr>
        <w:pStyle w:val="ListBullet"/>
        <w:spacing w:after="80"/>
      </w:pPr>
      <w:r>
        <w:rPr>
          <w:sz w:val="22"/>
        </w:rPr>
        <w:t>Buscar um par (imagem Landsat, medição in situ simultânea) para calibrar formalmente os índices espectrais (NDVI/NDTI) contra Turbidez/Clorofila-a reais da CETESB — sem isso, a atribuição de causa por sensoriamento remoto (erosão vs. alga vs. despejo industrial) continua só estatística sobre parâmetro de laboratório, não sobre reflectância de banda real.</w:t>
      </w:r>
    </w:p>
    <w:p>
      <w:r>
        <w:br w:type="page"/>
      </w:r>
    </w:p>
    <w:p>
      <w:pPr>
        <w:spacing w:after="120" w:before="0"/>
      </w:pPr>
      <w:r>
        <w:rPr>
          <w:b/>
          <w:i w:val="0"/>
          <w:color w:val="0E4C6E"/>
          <w:sz w:val="24"/>
        </w:rPr>
        <w:t>Metodologia desta auditoria</w:t>
      </w:r>
    </w:p>
    <w:p>
      <w:pPr>
        <w:spacing w:after="160"/>
        <w:jc w:val="both"/>
      </w:pPr>
      <w:r>
        <w:rPr>
          <w:sz w:val="22"/>
        </w:rPr>
        <w:t>Todos os números deste relatório foram obtidos por leitura direta das planilhas brutas (pandas/openpyxl) e das tabelas Delta já materializadas em data/bronze, data/silver e data/gold do próprio projeto, executada nesta sessão de auditoria — não são estimativas nem valores ilustrativos. O código citado nas Seções 5.1–5.2 é código real do repositório (src/waterweave/ingestion/ e src/waterweave/transform/); o código da Seção 5.3 é uma proposta nova, ainda não implementada.</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