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6E2" w:rsidRDefault="00CE16E2">
      <w:pPr>
        <w:spacing w:before="1600"/>
      </w:pPr>
    </w:p>
    <w:p w:rsidR="00CE16E2" w:rsidRDefault="002A59C9">
      <w:pPr>
        <w:jc w:val="center"/>
      </w:pPr>
      <w:r>
        <w:rPr>
          <w:b/>
          <w:bCs/>
          <w:color w:val="1F4E5F"/>
          <w:spacing w:val="20"/>
          <w:sz w:val="32"/>
          <w:szCs w:val="32"/>
        </w:rPr>
        <w:t>WATERWEAVE-TIETÊ</w:t>
      </w:r>
    </w:p>
    <w:p w:rsidR="00CE16E2" w:rsidRDefault="002A59C9">
      <w:pPr>
        <w:spacing w:before="200" w:after="400"/>
        <w:jc w:val="center"/>
      </w:pPr>
      <w:r>
        <w:rPr>
          <w:i/>
          <w:iCs/>
          <w:color w:val="595959"/>
        </w:rPr>
        <w:t>Plataforma híbrida de gestão de recursos hídricos</w:t>
      </w:r>
    </w:p>
    <w:p w:rsidR="00CE16E2" w:rsidRDefault="002A59C9">
      <w:pPr>
        <w:spacing w:before="300"/>
        <w:jc w:val="center"/>
      </w:pPr>
      <w:r>
        <w:rPr>
          <w:b/>
          <w:bCs/>
          <w:sz w:val="40"/>
          <w:szCs w:val="40"/>
        </w:rPr>
        <w:t>Determinantes da Qualidade da Água do Tietê</w:t>
      </w:r>
    </w:p>
    <w:p w:rsidR="00CE16E2" w:rsidRDefault="002A59C9">
      <w:pPr>
        <w:spacing w:before="200" w:after="900"/>
        <w:jc w:val="center"/>
      </w:pPr>
      <w:r>
        <w:rPr>
          <w:color w:val="595959"/>
          <w:sz w:val="24"/>
          <w:szCs w:val="24"/>
        </w:rPr>
        <w:t>Como a identificação ocorre, quais são os parâmetros mais relevantes e por quê</w:t>
      </w:r>
    </w:p>
    <w:p w:rsidR="00CE16E2" w:rsidRDefault="002A59C9">
      <w:pPr>
        <w:spacing w:before="200"/>
        <w:jc w:val="center"/>
      </w:pPr>
      <w:r>
        <w:rPr>
          <w:b/>
          <w:bCs/>
        </w:rPr>
        <w:t>Relatório técnico — com resultado real recalculado em 2026-07-28</w:t>
      </w:r>
    </w:p>
    <w:p w:rsidR="00CE16E2" w:rsidRDefault="002A59C9">
      <w:pPr>
        <w:spacing w:before="100"/>
        <w:jc w:val="center"/>
      </w:pPr>
      <w:r>
        <w:t>Projeto WaterWeave-Water4All</w:t>
      </w:r>
    </w:p>
    <w:p w:rsidR="00CE16E2" w:rsidRDefault="002A59C9">
      <w:pPr>
        <w:spacing w:before="100"/>
        <w:jc w:val="center"/>
      </w:pPr>
      <w:r>
        <w:rPr>
          <w:color w:val="595959"/>
        </w:rPr>
        <w:t>Julho de 2026</w:t>
      </w:r>
    </w:p>
    <w:p w:rsidR="00CE16E2" w:rsidRDefault="002A59C9">
      <w:r>
        <w:br w:type="page"/>
      </w:r>
    </w:p>
    <w:p w:rsidR="00CE16E2" w:rsidRDefault="002A59C9">
      <w:pPr>
        <w:pStyle w:val="Heading1"/>
      </w:pPr>
      <w:r>
        <w:lastRenderedPageBreak/>
        <w:t>Sumário</w:t>
      </w:r>
    </w:p>
    <w:p w:rsidR="00CE16E2" w:rsidRDefault="002A59C9">
      <w:pPr>
        <w:spacing w:after="200"/>
      </w:pPr>
      <w:r>
        <w:rPr>
          <w:i/>
          <w:iCs/>
          <w:color w:val="595959"/>
          <w:sz w:val="18"/>
          <w:szCs w:val="18"/>
        </w:rPr>
        <w:t>(Clique com o botão direito sobre o sumário e escolha “Atualizar campo” após abrir no Word para gerar os números de página.)</w:t>
      </w:r>
    </w:p>
    <w:sdt>
      <w:sdtPr>
        <w:alias w:val="Sumário"/>
        <w:id w:val="2129431962"/>
      </w:sdtPr>
      <w:sdtEndPr/>
      <w:sdtContent>
        <w:p w:rsidR="00CE16E2" w:rsidRDefault="002A59C9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CE16E2" w:rsidRDefault="002A59C9">
          <w:r>
            <w:fldChar w:fldCharType="end"/>
          </w:r>
        </w:p>
      </w:sdtContent>
    </w:sdt>
    <w:p w:rsidR="00CE16E2" w:rsidRDefault="002A59C9">
      <w:r>
        <w:br w:type="page"/>
      </w:r>
    </w:p>
    <w:p w:rsidR="00CE16E2" w:rsidRDefault="002A59C9">
      <w:pPr>
        <w:pStyle w:val="Heading1"/>
      </w:pPr>
      <w:r>
        <w:lastRenderedPageBreak/>
        <w:t>Introdução</w:t>
      </w:r>
    </w:p>
    <w:p w:rsidR="00CE16E2" w:rsidRDefault="002A59C9">
      <w:pPr>
        <w:spacing w:after="200" w:line="300" w:lineRule="auto"/>
      </w:pPr>
      <w:r>
        <w:t>Este relatório responde diretamente ao ite</w:t>
      </w:r>
      <w:r>
        <w:t>m 3 do objetivo de pesquisa do WaterWeave-Water4All: a identificação dos determinantes/parâmetros mais relevantes da qualidade da água do Rio Tietê. Diferente do relatório de Machine Learning (que explica a metodologia em geral), este documento foca no RES</w:t>
      </w:r>
      <w:r>
        <w:t>ULTADO — quais parâmetros, especificamente, mais se associam à qualidade da água em cada trecho do rio, e por quê — com números recalculados nesta sessão (2026-07-28), a partir dos modelos e do histórico real mais atuais do pipeline.</w:t>
      </w:r>
    </w:p>
    <w:tbl>
      <w:tblPr>
        <w:tblW w:w="5000" w:type="pct"/>
        <w:tblBorders>
          <w:top w:val="single" w:sz="4" w:space="0" w:color="1F4E5F"/>
          <w:left w:val="single" w:sz="16" w:space="0" w:color="1F4E5F"/>
          <w:bottom w:val="single" w:sz="4" w:space="0" w:color="1F4E5F"/>
          <w:right w:val="single" w:sz="4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CE16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16E2" w:rsidRDefault="002A59C9">
            <w:pPr>
              <w:spacing w:after="100"/>
            </w:pPr>
            <w:r>
              <w:rPr>
                <w:b/>
                <w:bCs/>
                <w:color w:val="1F4E5F"/>
              </w:rPr>
              <w:t>Nota de proveniência</w:t>
            </w:r>
          </w:p>
          <w:p w:rsidR="00CE16E2" w:rsidRDefault="002A59C9">
            <w:pPr>
              <w:spacing w:after="200" w:line="300" w:lineRule="auto"/>
            </w:pPr>
            <w:r>
              <w:t>O</w:t>
            </w:r>
            <w:r>
              <w:t>s modelos de Machine Learning usados neste relatório foram RETREINADOS nesta sessão contra a versão mais recente da camada Gold (</w:t>
            </w:r>
            <w:proofErr w:type="gramStart"/>
            <w:r>
              <w:t>gold.feature</w:t>
            </w:r>
            <w:proofErr w:type="gramEnd"/>
            <w:r>
              <w:t>_store_ml_anual), porque os modelos previamente salvos em data/models/ eram anteriores à última atualização do pipe</w:t>
            </w:r>
            <w:r>
              <w:t>line. Todos os números e gráficos abaixo refletem essa execução fresca — não uma reafirmação genérica da metodologia.</w:t>
            </w:r>
          </w:p>
        </w:tc>
      </w:tr>
    </w:tbl>
    <w:p w:rsidR="00CE16E2" w:rsidRDefault="002A59C9">
      <w:r>
        <w:br w:type="page"/>
      </w:r>
    </w:p>
    <w:p w:rsidR="00CE16E2" w:rsidRDefault="002A59C9">
      <w:pPr>
        <w:pStyle w:val="Heading1"/>
      </w:pPr>
      <w:r>
        <w:lastRenderedPageBreak/>
        <w:t>Parte 1 — Como a identificação dos determinantes ocorre</w:t>
      </w:r>
    </w:p>
    <w:p w:rsidR="00CE16E2" w:rsidRDefault="002A59C9">
      <w:pPr>
        <w:pStyle w:val="Heading2"/>
      </w:pPr>
      <w:r>
        <w:t>1. Por que não basta olhar a correlação</w:t>
      </w:r>
    </w:p>
    <w:p w:rsidR="00CE16E2" w:rsidRDefault="002A59C9" w:rsidP="00816ACC">
      <w:pPr>
        <w:spacing w:after="200" w:line="300" w:lineRule="auto"/>
        <w:jc w:val="both"/>
      </w:pPr>
      <w:r>
        <w:t xml:space="preserve">Uma primeira tentativa óbvia seria calcular a correlação entre cada variável (vazão, chuva, uso do solo) e a qualidade da água. O problema é que correlação simples não lida bem com interações entre variáveis (o efeito da chuva sobre o IQA pode depender do </w:t>
      </w:r>
      <w:r>
        <w:t>uso do solo do trecho, por exemplo) nem com relações não lineares (o efeito de diluição da vazão tende a saturar em vazões muito altas). O WaterWeave-Tietê usa, em vez disso, a mesma árvore de decisão treinada para PREVER a qualidade da água (o RandomFores</w:t>
      </w:r>
      <w:r>
        <w:t>tRegressor, ver relatório de Machine Learning) como base para explicar quais variáveis o modelo efetivamente usou para chegar a cada previsão — via SHAP (SHapley Additive exPlanations, models/ml/shap_analysis.py).</w:t>
      </w:r>
    </w:p>
    <w:p w:rsidR="00CE16E2" w:rsidRDefault="002A59C9" w:rsidP="00816ACC">
      <w:pPr>
        <w:pStyle w:val="Heading2"/>
        <w:jc w:val="both"/>
      </w:pPr>
      <w:r>
        <w:t>2. SHAP: o que exatamente é medido</w:t>
      </w:r>
    </w:p>
    <w:p w:rsidR="00CE16E2" w:rsidRDefault="002A59C9" w:rsidP="00816ACC">
      <w:pPr>
        <w:spacing w:after="200" w:line="300" w:lineRule="auto"/>
        <w:jc w:val="both"/>
      </w:pPr>
      <w:r>
        <w:t>Para ca</w:t>
      </w:r>
      <w:r>
        <w:t>da observação do conjunto de teste (um trecho, um ano específico), o SHAP calcula, para cada variável, o quanto ela empurrou a previsão do modelo para cima ou para baixo em relação à previsão média — com a propriedade matemática (herdada da teoria dos jogo</w:t>
      </w:r>
      <w:r>
        <w:t>s cooperativos, valores de Shapley) de que a soma das contribuições de todas as variáveis, para uma observação, reconstrói exatamente a diferença entre a previsão daquela observação e a média geral. Agregando o valor absoluto dessas contribuições sobre tod</w:t>
      </w:r>
      <w:r>
        <w:t>o o conjunto de teste, obtém-se a IMPORTÂNCIA média de cada variável — a métrica reportada na Parte 2.</w:t>
      </w:r>
    </w:p>
    <w:p w:rsidR="00CE16E2" w:rsidRDefault="002A59C9" w:rsidP="00816ACC">
      <w:pPr>
        <w:spacing w:after="200" w:line="300" w:lineRule="auto"/>
        <w:jc w:val="both"/>
      </w:pPr>
      <w:r>
        <w:t xml:space="preserve">O projeto usa especificamente </w:t>
      </w:r>
      <w:proofErr w:type="gramStart"/>
      <w:r>
        <w:t>shap.TreeExplainer</w:t>
      </w:r>
      <w:proofErr w:type="gramEnd"/>
      <w:r>
        <w:t>, um algoritmo exato (não uma aproximação por amostragem) para modelos baseados em árvore como o Random F</w:t>
      </w:r>
      <w:r>
        <w:t>orest — o que permite calcular o SHAP exato de forma rápida, sem precisar de um conjunto de referência artificial.</w:t>
      </w:r>
    </w:p>
    <w:p w:rsidR="00CE16E2" w:rsidRDefault="002A59C9" w:rsidP="00816ACC">
      <w:pPr>
        <w:pStyle w:val="Heading2"/>
        <w:jc w:val="both"/>
      </w:pPr>
      <w:r>
        <w:t>3. O problema do "eco" do próprio alvo — e por que existem DOIS modelos</w:t>
      </w:r>
    </w:p>
    <w:p w:rsidR="00CE16E2" w:rsidRDefault="002A59C9" w:rsidP="00816ACC">
      <w:pPr>
        <w:spacing w:after="200" w:line="300" w:lineRule="auto"/>
        <w:jc w:val="both"/>
      </w:pPr>
      <w:r>
        <w:t>O modelo de PRODUÇÃO (o mesmo usado para previsão, ver relatório de M</w:t>
      </w:r>
      <w:r>
        <w:t>L) inclui, entre suas preditoras, os valores de IQA/OD dos anos anteriores (lags) — porque isso melhora a precisão da previsão. O problema é que, numa série com autocorrelação temporal real, esses lags tendem a dominar o SHAP simplesmente porque "o ano pas</w:t>
      </w:r>
      <w:r>
        <w:t>sado parece com este ano" — um fato estatisticamente verdadeiro, mas inútil para responder "o que reduz a poluição": dizer que o determinante mais importante do IQA é o próprio IQA do ano anterior não é uma alavanca de política.</w:t>
      </w:r>
    </w:p>
    <w:p w:rsidR="00CE16E2" w:rsidRDefault="002A59C9" w:rsidP="00816ACC">
      <w:pPr>
        <w:spacing w:after="200" w:line="300" w:lineRule="auto"/>
        <w:jc w:val="both"/>
      </w:pPr>
      <w:r>
        <w:t>Por isso, a identificação d</w:t>
      </w:r>
      <w:r>
        <w:t>e determinantes reportada neste relatório usa principalmente o modelo "drivers" (models/ml/shap_analysis.explicar_modelo_drivers): a MESMA metodologia SHAP, mas treinada e explicada sobre uma matriz de preditoras QUE NÃO INCLUI nenhum lag do próprio alvo —</w:t>
      </w:r>
      <w:r>
        <w:t xml:space="preserve"> apenas ano, vazão, chuva e uso do solo (percentual de área natural, agropecuária, urbana/industrial e de água). O resultado é uma leitura menos "contaminada" pela autocorrelação, mais próxima de causal-adjacente sobre quais parâmetros do ecossistema pesam</w:t>
      </w:r>
      <w:r>
        <w:t xml:space="preserve"> mais — a Parte 2 mostra os dois modelos lado a lado, mas a interpretação central se apoia no modelo drivers.</w:t>
      </w:r>
    </w:p>
    <w:p w:rsidR="00816ACC" w:rsidRDefault="00816ACC" w:rsidP="00816ACC">
      <w:pPr>
        <w:spacing w:after="200" w:line="300" w:lineRule="auto"/>
        <w:jc w:val="both"/>
      </w:pPr>
    </w:p>
    <w:p w:rsidR="00816ACC" w:rsidRDefault="00816ACC" w:rsidP="00816ACC">
      <w:pPr>
        <w:spacing w:after="200" w:line="300" w:lineRule="auto"/>
        <w:jc w:val="both"/>
      </w:pPr>
    </w:p>
    <w:p w:rsidR="00CE16E2" w:rsidRDefault="002A59C9">
      <w:pPr>
        <w:pStyle w:val="Heading2"/>
      </w:pPr>
      <w:r>
        <w:lastRenderedPageBreak/>
        <w:t>4. Protocolo exato desta execução</w:t>
      </w:r>
    </w:p>
    <w:p w:rsidR="00CE16E2" w:rsidRDefault="002A59C9" w:rsidP="00816ACC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Fonte: </w:t>
      </w:r>
      <w:proofErr w:type="gramStart"/>
      <w:r>
        <w:t>gold.feature</w:t>
      </w:r>
      <w:proofErr w:type="gramEnd"/>
      <w:r>
        <w:t>_store_ml_anual (uma linha por trecho × ano), restrita a fonte_tipo = "observado" (medição re</w:t>
      </w:r>
      <w:r>
        <w:t>al da CETESB) sempre que há histórico real suficiente.</w:t>
      </w:r>
    </w:p>
    <w:p w:rsidR="00CE16E2" w:rsidRDefault="002A59C9" w:rsidP="00816ACC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Modelos: </w:t>
      </w:r>
      <w:r>
        <w:t>um RandomForestRegressor por (trecho, alvo) — 6 modelos de produção, ajustados por GridSearchCV (5-fold, otimizando MAE) — mais 6 modelos "drivers" ad-hoc (hiperparâmetros fixos, não salvos em produção), um total de 12 explicações SHAP.</w:t>
      </w:r>
    </w:p>
    <w:p w:rsidR="00CE16E2" w:rsidRDefault="002A59C9" w:rsidP="00816ACC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Conjunto explicado:</w:t>
      </w:r>
      <w:r>
        <w:rPr>
          <w:b/>
          <w:bCs/>
        </w:rPr>
        <w:t xml:space="preserve"> </w:t>
      </w:r>
      <w:r>
        <w:t>o mesmo conjunto de TESTE (ano ≥ 2015) usado para reportar as métricas de erro no relatório de ML — nunca o conjunto de treino, para não confundir "o que o modelo memorizou" com "o que o modelo usa para generalizar".</w:t>
      </w:r>
    </w:p>
    <w:p w:rsidR="00CE16E2" w:rsidRDefault="002A59C9" w:rsidP="00816ACC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Exceção: </w:t>
      </w:r>
      <w:r>
        <w:t>vazao_m3s_medio é removida da</w:t>
      </w:r>
      <w:r>
        <w:t>s preditoras do Baixo Tietê (série com inconsistência estrutural documentada, ver relatório de ML) — por isso as tabelas do Baixo Tietê na Parte 2 não têm essa linha.</w:t>
      </w:r>
    </w:p>
    <w:p w:rsidR="00CE16E2" w:rsidRDefault="002A59C9">
      <w:r>
        <w:br w:type="page"/>
      </w:r>
    </w:p>
    <w:p w:rsidR="00CE16E2" w:rsidRDefault="002A59C9">
      <w:pPr>
        <w:pStyle w:val="Heading1"/>
      </w:pPr>
      <w:r>
        <w:lastRenderedPageBreak/>
        <w:t>Parte 2 — Os determinantes identificados, trecho a trecho</w:t>
      </w:r>
    </w:p>
    <w:p w:rsidR="00CE16E2" w:rsidRDefault="002A59C9" w:rsidP="00816ACC">
      <w:pPr>
        <w:spacing w:after="200" w:line="300" w:lineRule="auto"/>
        <w:jc w:val="both"/>
      </w:pPr>
      <w:r>
        <w:t>Para cada trecho, a tabela e o gráfico abaixo mostram o ranking de importância SHAP do modelo DRIVERS (sem lags do próprio alvo) — a leitura mais direta de "o que pesa mais" entre os fatores ambientais e de uso do solo. O texto de interpretação relaciona o</w:t>
      </w:r>
      <w:r>
        <w:t xml:space="preserve"> ranking ao que já se sabe sobre cada trecho (ver docs/Analise_Poluicao_Rio_Tiete.docx).</w:t>
      </w:r>
    </w:p>
    <w:p w:rsidR="00CE16E2" w:rsidRDefault="002A59C9">
      <w:pPr>
        <w:pStyle w:val="Heading2"/>
      </w:pPr>
      <w:r>
        <w:t>Alto Tietê</w:t>
      </w:r>
    </w:p>
    <w:p w:rsidR="00CE16E2" w:rsidRDefault="002A59C9">
      <w:pPr>
        <w:pStyle w:val="Heading3"/>
      </w:pPr>
      <w:r>
        <w:t>IQA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200"/>
        <w:gridCol w:w="1726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SHAP médio |valor|</w:t>
            </w:r>
          </w:p>
        </w:tc>
        <w:tc>
          <w:tcPr>
            <w:tcW w:w="17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% do total explicado (top)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agropecuária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3.924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33.8%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Ano (tendência secular)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3.169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27.3%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urbana/industrial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2.922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25.2%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natural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0.876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Vazão média anual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0.405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de água/reservatório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0.210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1.8%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Chuva média anual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0.108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0.9%</w:t>
            </w:r>
          </w:p>
        </w:tc>
      </w:tr>
    </w:tbl>
    <w:p w:rsidR="00CE16E2" w:rsidRDefault="002A59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2867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E2" w:rsidRDefault="002A59C9"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>Figura — Importância SHAP média (modelo "drivers", sem lags do alvo) — Alto Tietê, IQA. n = 11 observações de teste (anos ≥ 2015).</w:t>
      </w: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CE16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16E2" w:rsidRPr="00816ACC" w:rsidRDefault="002A59C9">
            <w:pPr>
              <w:spacing w:after="100"/>
              <w:rPr>
                <w:sz w:val="18"/>
                <w:szCs w:val="18"/>
              </w:rPr>
            </w:pPr>
            <w:r w:rsidRPr="00816ACC">
              <w:rPr>
                <w:b/>
                <w:bCs/>
                <w:color w:val="2E7D32"/>
                <w:sz w:val="18"/>
                <w:szCs w:val="18"/>
              </w:rPr>
              <w:t>Interpretação</w:t>
            </w:r>
          </w:p>
          <w:p w:rsidR="00CE16E2" w:rsidRPr="00816ACC" w:rsidRDefault="002A59C9" w:rsidP="008456CB">
            <w:pPr>
              <w:spacing w:after="200" w:line="300" w:lineRule="auto"/>
              <w:jc w:val="both"/>
              <w:rPr>
                <w:sz w:val="18"/>
                <w:szCs w:val="18"/>
              </w:rPr>
            </w:pPr>
            <w:r w:rsidRPr="00816ACC">
              <w:rPr>
                <w:sz w:val="18"/>
                <w:szCs w:val="18"/>
              </w:rPr>
              <w:t>O uso do solo domina claramente: % de área agropecuária e % urbano/industrial somados respondem pela maior part</w:t>
            </w:r>
            <w:r w:rsidRPr="00816ACC">
              <w:rPr>
                <w:sz w:val="18"/>
                <w:szCs w:val="18"/>
              </w:rPr>
              <w:t>e da importância, à frente até da tendência temporal (ano). Isso é consistente com o Alto Tietê nascer numa região de forte pressão de ocupação urbano-industrial histórica (Região Metropolitana de São Paulo) — a composição de uso do solo do trecho é, estat</w:t>
            </w:r>
            <w:r w:rsidRPr="00816ACC">
              <w:rPr>
                <w:sz w:val="18"/>
                <w:szCs w:val="18"/>
              </w:rPr>
              <w:t>isticamente, o fator ambiental mais associado à sua qualidade de água.</w:t>
            </w:r>
          </w:p>
        </w:tc>
      </w:tr>
    </w:tbl>
    <w:p w:rsidR="00CE16E2" w:rsidRDefault="002A59C9">
      <w:pPr>
        <w:pStyle w:val="Heading3"/>
      </w:pPr>
      <w:r>
        <w:lastRenderedPageBreak/>
        <w:t>Oxigênio Dissolvido (OD)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200"/>
        <w:gridCol w:w="1726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SHAP médio |valor|</w:t>
            </w:r>
          </w:p>
        </w:tc>
        <w:tc>
          <w:tcPr>
            <w:tcW w:w="17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% do total explicado (top)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agropecuária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0.433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31.8%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Ano (tendência secular)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0.399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29.3%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urbana/industrial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0.320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23.5%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natural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0.090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6.6%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Vazão média anual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0.070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5.1%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de água/reservatório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0.032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2.4%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Chuva média anual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0.019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1.4%</w:t>
            </w:r>
          </w:p>
        </w:tc>
      </w:tr>
    </w:tbl>
    <w:p w:rsidR="00CE16E2" w:rsidRDefault="002A59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2867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E2" w:rsidRDefault="002A59C9"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>Figura — Importância SHAP média (modelo "drivers", sem lags do alvo) — Alto Tietê, Oxigênio Dissolvido (OD). n = 11 observações de teste (anos ≥ 2015).</w:t>
      </w: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CE16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16E2" w:rsidRDefault="002A59C9">
            <w:pPr>
              <w:spacing w:after="100"/>
            </w:pPr>
            <w:r>
              <w:rPr>
                <w:b/>
                <w:bCs/>
                <w:color w:val="2E7D32"/>
              </w:rPr>
              <w:t>Interpretação</w:t>
            </w:r>
          </w:p>
          <w:p w:rsidR="00CE16E2" w:rsidRDefault="002A59C9" w:rsidP="008456CB">
            <w:pPr>
              <w:spacing w:after="200" w:line="300" w:lineRule="auto"/>
              <w:jc w:val="both"/>
            </w:pPr>
            <w:r>
              <w:t>Mesmo ranking do IQA (% agropecuária, ano, % urbano/industrial) — esperado, já que IQA e OD são fortemente correlacionados (0,96 Pearson) na série real e usam o mesmo conjunto de preditoras exógenas.</w:t>
            </w:r>
          </w:p>
        </w:tc>
      </w:tr>
    </w:tbl>
    <w:p w:rsidR="00CE16E2" w:rsidRDefault="002A59C9">
      <w:r>
        <w:br w:type="page"/>
      </w:r>
    </w:p>
    <w:p w:rsidR="00CE16E2" w:rsidRDefault="002A59C9">
      <w:pPr>
        <w:pStyle w:val="Heading2"/>
      </w:pPr>
      <w:r>
        <w:lastRenderedPageBreak/>
        <w:t>Médio Tietê</w:t>
      </w:r>
    </w:p>
    <w:p w:rsidR="00CE16E2" w:rsidRDefault="002A59C9">
      <w:pPr>
        <w:pStyle w:val="Heading3"/>
      </w:pPr>
      <w:r>
        <w:t>IQA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200"/>
        <w:gridCol w:w="1726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SHAP médio |valor|</w:t>
            </w:r>
          </w:p>
        </w:tc>
        <w:tc>
          <w:tcPr>
            <w:tcW w:w="17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% do total explicado (top)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agropecuária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9.607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51.4%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Ano (tendência secular)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4.714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25.2%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urbana/industrial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3.828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20.5%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Chuva média anual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0.250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1.3%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Vazão média anual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0.142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0.8%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de água/reservatório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0.106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0.6%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natural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0.030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16AC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0.2%</w:t>
            </w:r>
          </w:p>
        </w:tc>
      </w:tr>
    </w:tbl>
    <w:p w:rsidR="00CE16E2" w:rsidRDefault="002A59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2867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E2" w:rsidRDefault="002A59C9"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>Figura — Importância SHAP média (modelo "drivers", sem lags do alvo) — Médio Tietê, IQA. n = 11 observações de teste (anos ≥ 2015).</w:t>
      </w: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CE16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16E2" w:rsidRDefault="002A59C9">
            <w:pPr>
              <w:spacing w:after="100"/>
            </w:pPr>
            <w:r>
              <w:rPr>
                <w:b/>
                <w:bCs/>
                <w:color w:val="2E7D32"/>
              </w:rPr>
              <w:t>Interpretação</w:t>
            </w:r>
          </w:p>
          <w:p w:rsidR="00CE16E2" w:rsidRDefault="002A59C9" w:rsidP="008456CB">
            <w:pPr>
              <w:spacing w:after="200" w:line="300" w:lineRule="auto"/>
              <w:jc w:val="both"/>
            </w:pPr>
            <w:r>
              <w:t>O determinante mais forte do rio inteiro: % de área agropecuária tem SHAP médio de 9,61 — mais que o dobro do segundo colocado (ano, 4,71) — e domina de forma muito mais acentuada que em qualquer outro trecho/alvo. O Médio Tietê é a região historicamente m</w:t>
            </w:r>
            <w:r>
              <w:t>ais associada a agrotóxicos agrícolas na análise de poluição do rio (ver docs/Analise_Poluicao_Rio_Tiete.docx) — o SHAP concorda estatisticamente com esse diagnóstico qualitativo.</w:t>
            </w:r>
          </w:p>
        </w:tc>
      </w:tr>
    </w:tbl>
    <w:p w:rsidR="00816ACC" w:rsidRDefault="00816ACC">
      <w:pPr>
        <w:pStyle w:val="Heading3"/>
      </w:pPr>
    </w:p>
    <w:p w:rsidR="00816ACC" w:rsidRDefault="00816ACC">
      <w:pPr>
        <w:pStyle w:val="Heading3"/>
      </w:pPr>
    </w:p>
    <w:p w:rsidR="00816ACC" w:rsidRDefault="00816ACC">
      <w:pPr>
        <w:pStyle w:val="Heading3"/>
      </w:pPr>
    </w:p>
    <w:p w:rsidR="00CE16E2" w:rsidRDefault="002A59C9">
      <w:pPr>
        <w:pStyle w:val="Heading3"/>
      </w:pPr>
      <w:r>
        <w:lastRenderedPageBreak/>
        <w:t>Oxigênio Dissolvido (OD)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200"/>
        <w:gridCol w:w="1726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SHAP médio |valor|</w:t>
            </w:r>
          </w:p>
        </w:tc>
        <w:tc>
          <w:tcPr>
            <w:tcW w:w="17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% do total explicado (top)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Ano (tendência secular)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0.326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31.5%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urbana/industrial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0.318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30.7%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agropecuária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0.255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24.6%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natural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0.077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7.4%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Vazão média anual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0.028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2.7%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Chuva média anual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0.018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1.8%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de água/reservatório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0.012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1.2%</w:t>
            </w:r>
          </w:p>
        </w:tc>
      </w:tr>
    </w:tbl>
    <w:p w:rsidR="00CE16E2" w:rsidRDefault="002A59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2867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E2" w:rsidRDefault="002A59C9"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>Figura — Importância SHAP média (modelo "drivers", sem lags do alvo) — Médio Tietê, Oxigênio Dissolvido (OD). n = 11 observações de teste (anos ≥ 2015).</w:t>
      </w: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CE16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16E2" w:rsidRDefault="002A59C9">
            <w:pPr>
              <w:spacing w:after="100"/>
            </w:pPr>
            <w:r>
              <w:rPr>
                <w:b/>
                <w:bCs/>
                <w:color w:val="2E7D32"/>
              </w:rPr>
              <w:t>Interpretação</w:t>
            </w:r>
          </w:p>
          <w:p w:rsidR="00CE16E2" w:rsidRDefault="002A59C9" w:rsidP="008456CB">
            <w:pPr>
              <w:spacing w:after="200" w:line="300" w:lineRule="auto"/>
              <w:jc w:val="both"/>
            </w:pPr>
            <w:r>
              <w:t>Ranking mais equilibrado entre ano, % urbano/industrial e % agropecuária — nenhum fator isolado domina tanto quanto no IQA do mesmo trecho, sugerindo que o Oxigênio Dissolvido do Médio Tietê responde a uma combinação mais distribuída de pressões.</w:t>
            </w:r>
          </w:p>
        </w:tc>
      </w:tr>
    </w:tbl>
    <w:p w:rsidR="00CE16E2" w:rsidRDefault="002A59C9">
      <w:r>
        <w:br w:type="page"/>
      </w:r>
    </w:p>
    <w:p w:rsidR="00CE16E2" w:rsidRDefault="002A59C9">
      <w:pPr>
        <w:pStyle w:val="Heading2"/>
      </w:pPr>
      <w:r>
        <w:lastRenderedPageBreak/>
        <w:t>Baixo Tietê</w:t>
      </w:r>
    </w:p>
    <w:p w:rsidR="00CE16E2" w:rsidRDefault="002A59C9">
      <w:pPr>
        <w:pStyle w:val="Heading3"/>
      </w:pPr>
      <w:r>
        <w:t>IQA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200"/>
        <w:gridCol w:w="1726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SHAP médio |valor|</w:t>
            </w:r>
          </w:p>
        </w:tc>
        <w:tc>
          <w:tcPr>
            <w:tcW w:w="17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% do total explicado (top)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de água/reservatório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2.140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52.1%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Chuva média anual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0.556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13.5%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natural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0.491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12.0%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agropecuária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0.469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11.4%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urbana/industrial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0.234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5.7%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Ano (tendência secular)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0.216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5.3%</w:t>
            </w:r>
          </w:p>
        </w:tc>
      </w:tr>
    </w:tbl>
    <w:p w:rsidR="00CE16E2" w:rsidRDefault="002A59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2867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E2" w:rsidRDefault="002A59C9"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>Figura — Importância SHAP média (modelo "drivers", sem lags do alvo) — Baixo Tietê, IQA. n = 11 observações de teste (anos ≥ 2015).</w:t>
      </w: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CE16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16E2" w:rsidRDefault="002A59C9">
            <w:pPr>
              <w:spacing w:after="100"/>
            </w:pPr>
            <w:r>
              <w:rPr>
                <w:b/>
                <w:bCs/>
                <w:color w:val="2E7D32"/>
              </w:rPr>
              <w:t>Interpretação</w:t>
            </w:r>
          </w:p>
          <w:p w:rsidR="00CE16E2" w:rsidRDefault="002A59C9" w:rsidP="008456CB">
            <w:pPr>
              <w:spacing w:after="200" w:line="300" w:lineRule="auto"/>
              <w:jc w:val="both"/>
            </w:pPr>
            <w:r>
              <w:t>Um padrão QUALITATIVAMENTE DIFERENTE dos outros dois trechos: % de área de água/reservatório (pct_agua) é, disparado, o determinante mais forte (SHAP 2,14 — mais que o triplo do segundo colocado). O Baixo Tietê é dominado pela cascata de reservatórios (Bar</w:t>
            </w:r>
            <w:r>
              <w:t>ra Bonita, Promissão e outros) — a fração de área ocupada por corpo d'água/reservatório está estatisticamente mais associada à qualidade da água ali do que uso agropecuário ou urbano, provavelmente capturando o efeito de retenção/diluição desses reservatór</w:t>
            </w:r>
            <w:r>
              <w:t>ios. Nem vazão nem uso agropecuário aparecem entre os dois primeiros, ao contrário do Alto e Médio Tietê.</w:t>
            </w:r>
          </w:p>
        </w:tc>
      </w:tr>
    </w:tbl>
    <w:p w:rsidR="00816ACC" w:rsidRDefault="00816ACC">
      <w:pPr>
        <w:pStyle w:val="Heading3"/>
      </w:pPr>
    </w:p>
    <w:p w:rsidR="00816ACC" w:rsidRDefault="00816ACC">
      <w:pPr>
        <w:pStyle w:val="Heading3"/>
      </w:pPr>
    </w:p>
    <w:p w:rsidR="00816ACC" w:rsidRDefault="00816ACC">
      <w:pPr>
        <w:pStyle w:val="Heading3"/>
      </w:pPr>
    </w:p>
    <w:p w:rsidR="00CE16E2" w:rsidRDefault="002A59C9">
      <w:pPr>
        <w:pStyle w:val="Heading3"/>
      </w:pPr>
      <w:r>
        <w:lastRenderedPageBreak/>
        <w:t>Oxigênio Dissolvido (OD)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200"/>
        <w:gridCol w:w="1726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SHAP médio |valor|</w:t>
            </w:r>
          </w:p>
        </w:tc>
        <w:tc>
          <w:tcPr>
            <w:tcW w:w="17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% do total explicado (top)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natural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0.215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29.2%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de água/reservatório (uso do solo)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0.202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27.4%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agropecuária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0.121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16.5%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Ano (tendência secular)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0.106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14.5%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% área urbana/industrial (uso do solo)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0.081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11.0%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Chuva média anual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0.011</w:t>
            </w:r>
          </w:p>
        </w:tc>
        <w:tc>
          <w:tcPr>
            <w:tcW w:w="17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1.5%</w:t>
            </w:r>
          </w:p>
        </w:tc>
      </w:tr>
    </w:tbl>
    <w:p w:rsidR="00CE16E2" w:rsidRDefault="002A59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2867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E2" w:rsidRDefault="002A59C9">
      <w:pPr>
        <w:spacing w:after="240"/>
        <w:jc w:val="center"/>
      </w:pPr>
      <w:r>
        <w:rPr>
          <w:i/>
          <w:iCs/>
          <w:color w:val="595959"/>
          <w:sz w:val="17"/>
          <w:szCs w:val="17"/>
        </w:rPr>
        <w:t>Figura — Importância SHAP média (modelo "drivers", sem lags do alvo) — Baixo Tietê, Oxigênio Dissolvido (OD). n = 11 observações de teste (anos ≥ 2015).</w:t>
      </w: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CE16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16E2" w:rsidRDefault="002A59C9">
            <w:pPr>
              <w:spacing w:after="100"/>
            </w:pPr>
            <w:r>
              <w:rPr>
                <w:b/>
                <w:bCs/>
                <w:color w:val="2E7D32"/>
              </w:rPr>
              <w:t>Interpretação</w:t>
            </w:r>
          </w:p>
          <w:p w:rsidR="00CE16E2" w:rsidRDefault="002A59C9" w:rsidP="008456CB">
            <w:pPr>
              <w:spacing w:after="200" w:line="300" w:lineRule="auto"/>
              <w:jc w:val="both"/>
            </w:pPr>
            <w:r>
              <w:t>% de área natural e % de área de água dividem a liderança, com % agropecuária em terceiro</w:t>
            </w:r>
            <w:r>
              <w:t xml:space="preserve"> — reforça a leitura de que o Baixo Tietê responde a uma dinâmica dominada por corpos d'água/vegetação remanescente, não por pressão agroindustrial direta, consistente com ser o trecho mais preservado dos três (ver docs/Analise_Poluicao_Rio_Tiete.docx).</w:t>
            </w:r>
          </w:p>
        </w:tc>
      </w:tr>
    </w:tbl>
    <w:p w:rsidR="00CE16E2" w:rsidRDefault="002A59C9">
      <w:r>
        <w:br w:type="page"/>
      </w:r>
    </w:p>
    <w:p w:rsidR="00CE16E2" w:rsidRDefault="002A59C9">
      <w:pPr>
        <w:pStyle w:val="Heading1"/>
      </w:pPr>
      <w:r>
        <w:lastRenderedPageBreak/>
        <w:t>Comparação entre os três trechos: um só rio, três regimes diferentes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42"/>
        <w:gridCol w:w="2142"/>
        <w:gridCol w:w="2142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Trecho</w:t>
            </w:r>
          </w:p>
        </w:tc>
        <w:tc>
          <w:tcPr>
            <w:tcW w:w="2942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1º determinante (IQA)</w:t>
            </w:r>
          </w:p>
        </w:tc>
        <w:tc>
          <w:tcPr>
            <w:tcW w:w="2142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2º determinante (IQA)</w:t>
            </w:r>
          </w:p>
        </w:tc>
        <w:tc>
          <w:tcPr>
            <w:tcW w:w="2142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3º determinante (IQA)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Alto Tietê</w:t>
            </w:r>
          </w:p>
        </w:tc>
        <w:tc>
          <w:tcPr>
            <w:tcW w:w="29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% agropecuária</w:t>
            </w:r>
          </w:p>
        </w:tc>
        <w:tc>
          <w:tcPr>
            <w:tcW w:w="21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Ano (tendência)</w:t>
            </w:r>
          </w:p>
        </w:tc>
        <w:tc>
          <w:tcPr>
            <w:tcW w:w="21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% urbano/industrial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Médio Tietê</w:t>
            </w:r>
          </w:p>
        </w:tc>
        <w:tc>
          <w:tcPr>
            <w:tcW w:w="2942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% agropecuária (dominante)</w:t>
            </w:r>
          </w:p>
        </w:tc>
        <w:tc>
          <w:tcPr>
            <w:tcW w:w="2142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Ano (tendência)</w:t>
            </w:r>
          </w:p>
        </w:tc>
        <w:tc>
          <w:tcPr>
            <w:tcW w:w="2142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% urbano/industrial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Baixo Tietê</w:t>
            </w:r>
          </w:p>
        </w:tc>
        <w:tc>
          <w:tcPr>
            <w:tcW w:w="29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% área de água/reservatório (dominante)</w:t>
            </w:r>
          </w:p>
        </w:tc>
        <w:tc>
          <w:tcPr>
            <w:tcW w:w="21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Chuva média anual</w:t>
            </w:r>
          </w:p>
        </w:tc>
        <w:tc>
          <w:tcPr>
            <w:tcW w:w="21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% área natural</w:t>
            </w:r>
          </w:p>
        </w:tc>
      </w:tr>
    </w:tbl>
    <w:p w:rsidR="00CE16E2" w:rsidRDefault="002A59C9">
      <w:pPr>
        <w:spacing w:after="200" w:line="300" w:lineRule="auto"/>
      </w:pPr>
      <w:r>
        <w:t>Três leituras emergem desta comparação, todas com respaldo no diagnóstico de poluição já documentado do rio:</w:t>
      </w:r>
    </w:p>
    <w:p w:rsidR="00CE16E2" w:rsidRDefault="002A59C9" w:rsidP="00816ACC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1. Uso do solo é o determinante mais forte em 2 dos 3 trechos: </w:t>
      </w:r>
      <w:r>
        <w:t>no Alto e no Médio Tietê, a composição de uso do solo (agropecuária + urbano/industrial) supera a tendência temporal e o clima como fator mais associado à qualidade da água — um resultado com i</w:t>
      </w:r>
      <w:r>
        <w:t>mplicação direta de política: mudanças de uso do solo têm, estatisticamente, mais peso que variação climática natural nesses dois trechos.</w:t>
      </w:r>
    </w:p>
    <w:p w:rsidR="00CE16E2" w:rsidRDefault="002A59C9" w:rsidP="00816ACC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2. O Baixo Tietê responde a uma lógica diferente — reservatórios, não uso do solo: </w:t>
      </w:r>
      <w:r>
        <w:t xml:space="preserve">a dominância de % de área de água </w:t>
      </w:r>
      <w:r>
        <w:t>é um achado específico deste trecho, coerente com a presença da cascata de reservatórios (Barra Bonita, Promissão) que caracteriza o Baixo Tietê e o distingue estruturalmente dos outros dois — reforça a decisão metodológica de tratar os três trechos com mo</w:t>
      </w:r>
      <w:r>
        <w:t>delos INDEPENDENTES (ver relatório de ML, Seção 5.3), já que um único modelo para o rio inteiro esconderia essa diferença de regime.</w:t>
      </w:r>
    </w:p>
    <w:p w:rsidR="00CE16E2" w:rsidRDefault="002A59C9" w:rsidP="00816ACC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3. A tendência temporal ("ano") aparece consistentemente entre os 2-4 primeiros: </w:t>
      </w:r>
      <w:r>
        <w:t>em todos os 6 modelos, o ano-calendário ca</w:t>
      </w:r>
      <w:r>
        <w:t>rrega peso relevante — o sinal estatístico da tendência secular de queda de IQA/OD identificada por teste de Mann-Kendall no relatório de EDA. Isso significa que parte da variação da qualidade da água responde a uma tendência de longo prazo que não é expli</w:t>
      </w:r>
      <w:r>
        <w:t>cada por vazão, chuva ou uso do solo isoladamente — possivelmente fatores estruturais não capturados diretamente pelas preditoras disponíveis (crescimento populacional, mudanças regulatórias ao longo de décadas).</w:t>
      </w:r>
    </w:p>
    <w:p w:rsidR="00CE16E2" w:rsidRDefault="002A59C9">
      <w:r>
        <w:br w:type="page"/>
      </w:r>
    </w:p>
    <w:p w:rsidR="00CE16E2" w:rsidRDefault="002A59C9">
      <w:pPr>
        <w:pStyle w:val="Heading1"/>
      </w:pPr>
      <w:r>
        <w:lastRenderedPageBreak/>
        <w:t xml:space="preserve">E o modelo de produção (com lags)? O que </w:t>
      </w:r>
      <w:r>
        <w:t>ele soma à leitura</w:t>
      </w:r>
    </w:p>
    <w:p w:rsidR="00CE16E2" w:rsidRDefault="002A59C9" w:rsidP="00816ACC">
      <w:pPr>
        <w:spacing w:after="200" w:line="300" w:lineRule="auto"/>
        <w:jc w:val="both"/>
      </w:pPr>
      <w:r>
        <w:t>O modelo de produção — o mesmo usado para previsão — inclui os lags do próprio alvo. Olhar seu SHAP não invalida a leitura acima; complementa: mostra o quanto da variação é "inércia" (autocorrelação temporal genuína) versus "driver exóge</w:t>
      </w:r>
      <w:r>
        <w:t>no" (uso do solo, clima).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 w:rsidR="00CE16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Trecho / alvo</w:t>
            </w:r>
          </w:p>
        </w:tc>
        <w:tc>
          <w:tcPr>
            <w:tcW w:w="4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Uso do solo ainda lidera o modelo de produção?</w:t>
            </w:r>
          </w:p>
        </w:tc>
        <w:tc>
          <w:tcPr>
            <w:tcW w:w="24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Alto Tietê / IQA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Sim — % agropecuária permanece #1 mesmo COM os lags disponíveis</w:t>
            </w:r>
          </w:p>
        </w:tc>
        <w:tc>
          <w:tcPr>
            <w:tcW w:w="2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O sinal de uso do solo é forte o bastante para superar a autocorrelação temporal neste trecho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Médio Tietê / IQA</w:t>
            </w:r>
          </w:p>
        </w:tc>
        <w:tc>
          <w:tcPr>
            <w:tcW w:w="4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Sim, por pouco — % agropecuária (2,69) muito próximo da média móvel de IQA (2,61) e de OD (2,53)</w:t>
            </w:r>
          </w:p>
        </w:tc>
        <w:tc>
          <w:tcPr>
            <w:tcW w:w="2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Aqui a autocorrelação já disputa a liderança de perto com o uso do solo</w:t>
            </w:r>
          </w:p>
        </w:tc>
      </w:tr>
      <w:tr w:rsidR="00CE16E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Baixo Tietê / IQA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Não — o lag de 2 anos do próprio IQA passa a liderar; % de área de água cai para 2º</w:t>
            </w:r>
          </w:p>
        </w:tc>
        <w:tc>
          <w:tcPr>
            <w:tcW w:w="2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Neste trecho, a inércia temporal domina mais que nos outros dois quando os lags estão disponíveis</w:t>
            </w:r>
          </w:p>
        </w:tc>
      </w:tr>
    </w:tbl>
    <w:p w:rsidR="00CE16E2" w:rsidRDefault="002A59C9" w:rsidP="00816ACC">
      <w:pPr>
        <w:spacing w:after="200" w:line="300" w:lineRule="auto"/>
        <w:jc w:val="both"/>
      </w:pPr>
      <w:r>
        <w:t>Essa comparação é, em si, um achado: o Baixo Tietê é o único trecho em que a autocorrelação temporal supera o uso do solo como sinal dominante quando ambos competem no mesmo modelo — mais um indício de que esse trecho tem uma dinâmica mais estável/inercial</w:t>
      </w:r>
      <w:r>
        <w:t xml:space="preserve"> (provavelmente amortecida pelos reservatórios), enquanto Alto e Médio Tietê respondem mais diretamente e mais rapidamente a mudanças de uso do solo.</w:t>
      </w:r>
    </w:p>
    <w:p w:rsidR="00CE16E2" w:rsidRDefault="002A59C9">
      <w:pPr>
        <w:pStyle w:val="Heading1"/>
      </w:pPr>
      <w:r>
        <w:t>Ressalvas estatísticas — até onde esta leitura pode ser levada</w:t>
      </w:r>
    </w:p>
    <w:p w:rsidR="00CE16E2" w:rsidRDefault="002A59C9" w:rsidP="00816ACC">
      <w:pPr>
        <w:spacing w:after="200" w:line="300" w:lineRule="auto"/>
        <w:jc w:val="both"/>
      </w:pPr>
      <w:r>
        <w:t>A honestidade metodológica do projeto exige</w:t>
      </w:r>
      <w:r>
        <w:t xml:space="preserve"> que este ranking de determinantes seja lido com o mesmo rigor que o resto do pipeline aplica a si mesmo. Duas ressalvas concretas, com dado real desta própria execução:</w:t>
      </w:r>
    </w:p>
    <w:p w:rsidR="00CE16E2" w:rsidRDefault="002A59C9" w:rsidP="00816ACC">
      <w:pPr>
        <w:pStyle w:val="Heading3"/>
        <w:jc w:val="both"/>
      </w:pPr>
      <w:r>
        <w:t>1. Dataset pequeno — os números têm incerteza real</w:t>
      </w:r>
    </w:p>
    <w:p w:rsidR="00CE16E2" w:rsidRDefault="002A59C9" w:rsidP="00816ACC">
      <w:pPr>
        <w:spacing w:after="200" w:line="300" w:lineRule="auto"/>
        <w:jc w:val="both"/>
      </w:pPr>
      <w:r>
        <w:t>Cada modelo treina sobre 32 a 37 an</w:t>
      </w:r>
      <w:r>
        <w:t>os e testa sobre apenas 11 anos. Diferenças de SHAP entre o 2º e o 3º colocado de um ranking, quando pequenas em valor absoluto, não devem ser lidas como uma hierarquia rígida — são a melhor estimativa disponível com o histórico real existente, não um resu</w:t>
      </w:r>
      <w:r>
        <w:t>ltado com significância estatística formal calculada.</w:t>
      </w:r>
    </w:p>
    <w:p w:rsidR="00CE16E2" w:rsidRDefault="002A59C9" w:rsidP="00816ACC">
      <w:pPr>
        <w:pStyle w:val="Heading3"/>
        <w:jc w:val="both"/>
      </w:pPr>
      <w:r>
        <w:t>2. Nem todo modelo de produção supera o baseline trivial — Alto Tietê é o caso de atenção</w:t>
      </w:r>
    </w:p>
    <w:p w:rsidR="00CE16E2" w:rsidRDefault="002A59C9" w:rsidP="00816ACC">
      <w:pPr>
        <w:spacing w:after="200" w:line="300" w:lineRule="auto"/>
        <w:jc w:val="both"/>
      </w:pPr>
      <w:r>
        <w:t xml:space="preserve">A validação walk-forward desta execução mostra que, para o Alto Tietê, o RandomForest de produção NÃO superou o </w:t>
      </w:r>
      <w:r>
        <w:t xml:space="preserve">baseline de persistência ("previsto = valor </w:t>
      </w:r>
      <w:proofErr w:type="gramStart"/>
      <w:r>
        <w:t>do</w:t>
      </w:r>
      <w:proofErr w:type="gramEnd"/>
      <w:r>
        <w:t xml:space="preserve"> ano anterior") com a margem mínima de 5% definida pelo projeto — nem para IQA, nem para OD:</w:t>
      </w:r>
    </w:p>
    <w:p w:rsidR="00816ACC" w:rsidRDefault="00816ACC" w:rsidP="00816ACC">
      <w:pPr>
        <w:spacing w:after="200" w:line="300" w:lineRule="auto"/>
        <w:jc w:val="both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14"/>
        <w:gridCol w:w="2034"/>
        <w:gridCol w:w="3278"/>
      </w:tblGrid>
      <w:tr w:rsidR="00CE16E2" w:rsidTr="00816A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Trecho / alvo</w:t>
            </w:r>
          </w:p>
        </w:tc>
        <w:tc>
          <w:tcPr>
            <w:tcW w:w="181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MAE do modelo (walk-forward)</w:t>
            </w:r>
          </w:p>
        </w:tc>
        <w:tc>
          <w:tcPr>
            <w:tcW w:w="203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MAE do baseline de persistência</w:t>
            </w:r>
          </w:p>
        </w:tc>
        <w:tc>
          <w:tcPr>
            <w:tcW w:w="3278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E16E2" w:rsidRDefault="002A59C9">
            <w:r>
              <w:rPr>
                <w:b/>
                <w:bCs/>
                <w:color w:val="FFFFFF"/>
                <w:sz w:val="20"/>
                <w:szCs w:val="20"/>
              </w:rPr>
              <w:t>Supera baseline com margem?</w:t>
            </w:r>
          </w:p>
        </w:tc>
      </w:tr>
      <w:tr w:rsidR="00CE16E2" w:rsidTr="00816A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Alto Tietê / IQA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6,41</w:t>
            </w:r>
          </w:p>
        </w:tc>
        <w:tc>
          <w:tcPr>
            <w:tcW w:w="20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5,93</w:t>
            </w:r>
          </w:p>
        </w:tc>
        <w:tc>
          <w:tcPr>
            <w:tcW w:w="32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NÃO</w:t>
            </w:r>
          </w:p>
        </w:tc>
      </w:tr>
      <w:tr w:rsidR="00CE16E2" w:rsidTr="00816A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Alto Tietê / OD</w:t>
            </w:r>
          </w:p>
        </w:tc>
        <w:tc>
          <w:tcPr>
            <w:tcW w:w="181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0,29</w:t>
            </w:r>
          </w:p>
        </w:tc>
        <w:tc>
          <w:tcPr>
            <w:tcW w:w="203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0,24</w:t>
            </w:r>
          </w:p>
        </w:tc>
        <w:tc>
          <w:tcPr>
            <w:tcW w:w="3278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NÃO</w:t>
            </w:r>
          </w:p>
        </w:tc>
      </w:tr>
      <w:tr w:rsidR="00CE16E2" w:rsidTr="00816A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Médio Tietê / IQA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7,09</w:t>
            </w:r>
          </w:p>
        </w:tc>
        <w:tc>
          <w:tcPr>
            <w:tcW w:w="20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10,27</w:t>
            </w:r>
          </w:p>
        </w:tc>
        <w:tc>
          <w:tcPr>
            <w:tcW w:w="32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CE16E2" w:rsidTr="00816A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Médio Tietê / OD</w:t>
            </w:r>
          </w:p>
        </w:tc>
        <w:tc>
          <w:tcPr>
            <w:tcW w:w="181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0,48</w:t>
            </w:r>
          </w:p>
        </w:tc>
        <w:tc>
          <w:tcPr>
            <w:tcW w:w="203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0,50</w:t>
            </w:r>
          </w:p>
        </w:tc>
        <w:tc>
          <w:tcPr>
            <w:tcW w:w="3278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 (margem estreita)</w:t>
            </w:r>
          </w:p>
        </w:tc>
      </w:tr>
      <w:tr w:rsidR="00CE16E2" w:rsidTr="00816A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Baixo Tietê / IQA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4,84</w:t>
            </w:r>
          </w:p>
        </w:tc>
        <w:tc>
          <w:tcPr>
            <w:tcW w:w="20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5,63</w:t>
            </w:r>
          </w:p>
        </w:tc>
        <w:tc>
          <w:tcPr>
            <w:tcW w:w="32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CE16E2" w:rsidTr="00816AC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>
            <w:pPr>
              <w:spacing w:line="260" w:lineRule="auto"/>
            </w:pPr>
            <w:r>
              <w:rPr>
                <w:sz w:val="19"/>
                <w:szCs w:val="19"/>
              </w:rPr>
              <w:t>Baixo Tietê / OD</w:t>
            </w:r>
          </w:p>
        </w:tc>
        <w:tc>
          <w:tcPr>
            <w:tcW w:w="181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0,37</w:t>
            </w:r>
          </w:p>
        </w:tc>
        <w:tc>
          <w:tcPr>
            <w:tcW w:w="203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0,56</w:t>
            </w:r>
          </w:p>
        </w:tc>
        <w:tc>
          <w:tcPr>
            <w:tcW w:w="3278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E16E2" w:rsidRDefault="002A59C9" w:rsidP="008456C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</w:tbl>
    <w:p w:rsidR="00816ACC" w:rsidRDefault="00816ACC" w:rsidP="00816ACC">
      <w:pPr>
        <w:spacing w:after="100"/>
        <w:rPr>
          <w:b/>
          <w:bCs/>
          <w:color w:val="B03A2E"/>
        </w:rPr>
      </w:pPr>
    </w:p>
    <w:p w:rsidR="00816ACC" w:rsidRDefault="00816ACC" w:rsidP="00816ACC">
      <w:pPr>
        <w:spacing w:after="100"/>
      </w:pPr>
      <w:r>
        <w:rPr>
          <w:b/>
          <w:bCs/>
          <w:color w:val="B03A2E"/>
        </w:rPr>
        <w:t>O que isso significa para a leitura de determinantes do Alto Tietê</w:t>
      </w:r>
      <w:bookmarkStart w:id="0" w:name="_GoBack"/>
      <w:bookmarkEnd w:id="0"/>
    </w:p>
    <w:p w:rsidR="00816ACC" w:rsidRPr="00816ACC" w:rsidRDefault="00816ACC" w:rsidP="00816ACC">
      <w:pPr>
        <w:pStyle w:val="Heading1"/>
        <w:jc w:val="both"/>
        <w:rPr>
          <w:color w:val="000000" w:themeColor="text1"/>
        </w:rPr>
      </w:pPr>
      <w:r w:rsidRPr="00816ACC">
        <w:rPr>
          <w:color w:val="000000" w:themeColor="text1"/>
          <w:sz w:val="22"/>
          <w:szCs w:val="22"/>
        </w:rPr>
        <w:t>Quando o modelo de produção não bate claramente o baseline trivial, isso é um sinal de que o RandomForest daquele trecho pode não estar capturando muito além da autocorrelação — o que enfraquece a confiança no SHAP do modelo DE PRODUÇÃO (com lags) para o Alto Tietê especificamente. O modelo DRIVERS (sem lags, usado como base desta análise) não sofre desse problema da mesma forma — ele nunca teve lags para "vencer" — mas a advertência geral permanece: leia o ranking do Alto Tietê como direcional (uso do solo pesa mais que clima), não como uma medição precisa da magnitude exata desse peso.</w:t>
      </w:r>
    </w:p>
    <w:p w:rsidR="00CE16E2" w:rsidRDefault="002A59C9">
      <w:pPr>
        <w:pStyle w:val="Heading1"/>
      </w:pPr>
      <w:r>
        <w:t>Conclusão</w:t>
      </w:r>
    </w:p>
    <w:p w:rsidR="00CE16E2" w:rsidRDefault="002A59C9" w:rsidP="00816ACC">
      <w:pPr>
        <w:spacing w:after="200" w:line="300" w:lineRule="auto"/>
        <w:jc w:val="both"/>
      </w:pPr>
      <w:r>
        <w:t xml:space="preserve">A identificação dos determinantes da qualidade da água do Tietê ocorre por SHAP (valores de Shapley) aplicado </w:t>
      </w:r>
      <w:proofErr w:type="gramStart"/>
      <w:r>
        <w:t>a</w:t>
      </w:r>
      <w:proofErr w:type="gramEnd"/>
      <w:r>
        <w:t xml:space="preserve"> um RandomForestRegressor treinado por trecho, usando um modelo diagnóstico dedicado sem lags do próprio alvo para isolar o efeito de fatores exó</w:t>
      </w:r>
      <w:r>
        <w:t>genos (uso do solo, clima) da autocorrelação temporal genuína da série. Com os dados reais do pipeline (retreinado nesta sessão), o resultado é qualitativamente consistente e interpretável: uso do solo (agropecuário e urbano/industrial) é o determinante ma</w:t>
      </w:r>
      <w:r>
        <w:t>is forte no Alto e no Médio Tietê — coerente com o diagnóstico já conhecido de pressão agrícola no Médio Tietê e urbano-industrial no Alto Tietê —, enquanto no Baixo Tietê o determinante mais forte passa a ser a proporção de área ocupada por água/reservató</w:t>
      </w:r>
      <w:r>
        <w:t>rio, refletindo o regime distinto imposto pela cascata de reservatórios daquele trecho. A tendência temporal (ano) aparece de forma consistente em todos os seis modelos, sinalizando uma componente de mudança de longo prazo que os fatores ambientais disponí</w:t>
      </w:r>
      <w:r>
        <w:t>veis não explicam sozinhos.</w:t>
      </w:r>
    </w:p>
    <w:p w:rsidR="00CE16E2" w:rsidRDefault="002A59C9" w:rsidP="00816ACC">
      <w:pPr>
        <w:spacing w:after="200" w:line="300" w:lineRule="auto"/>
        <w:jc w:val="both"/>
      </w:pPr>
      <w:r>
        <w:t>A ressalva mais importante deste relatório é territorial, não estatística: o Alto Tietê é o único dos três trechos em que o modelo de produção não supera claramente o baseline trivial de persistência — um lembrete de que "o mode</w:t>
      </w:r>
      <w:r>
        <w:t>lo encontrou X como determinante" e "X é, de fato, o determinante mais forte" não são a mesma afirmação quando o próprio modelo ainda tem margem de melhoria limitada.</w:t>
      </w:r>
    </w:p>
    <w:sectPr w:rsidR="00CE16E2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59C9" w:rsidRDefault="002A59C9">
      <w:r>
        <w:separator/>
      </w:r>
    </w:p>
  </w:endnote>
  <w:endnote w:type="continuationSeparator" w:id="0">
    <w:p w:rsidR="002A59C9" w:rsidRDefault="002A5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6E2" w:rsidRDefault="002A59C9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816ACC">
      <w:rPr>
        <w:color w:val="595959"/>
        <w:sz w:val="16"/>
        <w:szCs w:val="16"/>
      </w:rPr>
      <w:fldChar w:fldCharType="separate"/>
    </w:r>
    <w:r w:rsidR="008456CB">
      <w:rPr>
        <w:noProof/>
        <w:color w:val="595959"/>
        <w:sz w:val="16"/>
        <w:szCs w:val="16"/>
      </w:rPr>
      <w:t>14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816ACC">
      <w:rPr>
        <w:color w:val="595959"/>
        <w:sz w:val="16"/>
        <w:szCs w:val="16"/>
      </w:rPr>
      <w:fldChar w:fldCharType="separate"/>
    </w:r>
    <w:r w:rsidR="008456CB">
      <w:rPr>
        <w:noProof/>
        <w:color w:val="595959"/>
        <w:sz w:val="16"/>
        <w:szCs w:val="16"/>
      </w:rPr>
      <w:t>14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59C9" w:rsidRDefault="002A59C9">
      <w:r>
        <w:separator/>
      </w:r>
    </w:p>
  </w:footnote>
  <w:footnote w:type="continuationSeparator" w:id="0">
    <w:p w:rsidR="002A59C9" w:rsidRDefault="002A5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6E2" w:rsidRDefault="002A59C9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 xml:space="preserve">WaterWeave-Tietê — </w:t>
    </w:r>
    <w:r>
      <w:rPr>
        <w:i/>
        <w:iCs/>
        <w:color w:val="595959"/>
        <w:sz w:val="16"/>
        <w:szCs w:val="16"/>
      </w:rPr>
      <w:t>Determinantes da Qualidade da Água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E6377"/>
    <w:multiLevelType w:val="hybridMultilevel"/>
    <w:tmpl w:val="22FA1852"/>
    <w:lvl w:ilvl="0" w:tplc="5BB812A8">
      <w:start w:val="1"/>
      <w:numFmt w:val="bullet"/>
      <w:lvlText w:val="●"/>
      <w:lvlJc w:val="left"/>
      <w:pPr>
        <w:ind w:left="720" w:hanging="360"/>
      </w:pPr>
    </w:lvl>
    <w:lvl w:ilvl="1" w:tplc="0082F064">
      <w:start w:val="1"/>
      <w:numFmt w:val="bullet"/>
      <w:lvlText w:val="○"/>
      <w:lvlJc w:val="left"/>
      <w:pPr>
        <w:ind w:left="1440" w:hanging="360"/>
      </w:pPr>
    </w:lvl>
    <w:lvl w:ilvl="2" w:tplc="F06869F4">
      <w:start w:val="1"/>
      <w:numFmt w:val="bullet"/>
      <w:lvlText w:val="■"/>
      <w:lvlJc w:val="left"/>
      <w:pPr>
        <w:ind w:left="2160" w:hanging="360"/>
      </w:pPr>
    </w:lvl>
    <w:lvl w:ilvl="3" w:tplc="1654D2D4">
      <w:start w:val="1"/>
      <w:numFmt w:val="bullet"/>
      <w:lvlText w:val="●"/>
      <w:lvlJc w:val="left"/>
      <w:pPr>
        <w:ind w:left="2880" w:hanging="360"/>
      </w:pPr>
    </w:lvl>
    <w:lvl w:ilvl="4" w:tplc="BA4ECB54">
      <w:start w:val="1"/>
      <w:numFmt w:val="bullet"/>
      <w:lvlText w:val="○"/>
      <w:lvlJc w:val="left"/>
      <w:pPr>
        <w:ind w:left="3600" w:hanging="360"/>
      </w:pPr>
    </w:lvl>
    <w:lvl w:ilvl="5" w:tplc="DD92ECD2">
      <w:start w:val="1"/>
      <w:numFmt w:val="bullet"/>
      <w:lvlText w:val="■"/>
      <w:lvlJc w:val="left"/>
      <w:pPr>
        <w:ind w:left="4320" w:hanging="360"/>
      </w:pPr>
    </w:lvl>
    <w:lvl w:ilvl="6" w:tplc="F1329DF4">
      <w:start w:val="1"/>
      <w:numFmt w:val="bullet"/>
      <w:lvlText w:val="●"/>
      <w:lvlJc w:val="left"/>
      <w:pPr>
        <w:ind w:left="5040" w:hanging="360"/>
      </w:pPr>
    </w:lvl>
    <w:lvl w:ilvl="7" w:tplc="1AD6F0B8">
      <w:start w:val="1"/>
      <w:numFmt w:val="bullet"/>
      <w:lvlText w:val="●"/>
      <w:lvlJc w:val="left"/>
      <w:pPr>
        <w:ind w:left="5760" w:hanging="360"/>
      </w:pPr>
    </w:lvl>
    <w:lvl w:ilvl="8" w:tplc="749019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6E2"/>
    <w:rsid w:val="002A59C9"/>
    <w:rsid w:val="00816ACC"/>
    <w:rsid w:val="008456CB"/>
    <w:rsid w:val="00CE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E1B9"/>
  <w15:docId w15:val="{D355B454-AEE4-418E-B36C-730ADAA7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4E5F"/>
      </w:pBdr>
      <w:spacing w:before="480" w:after="24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i/>
      <w:iCs/>
      <w:color w:val="3D6B7D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2686</Words>
  <Characters>15315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Determinantes da Qualidade da Água do Tietê — WaterWeave-Tietê</vt:lpstr>
    </vt:vector>
  </TitlesOfParts>
  <Company>Ford Motor Company</Company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Determinantes da Qualidade da Água do Tietê — WaterWeave-Tietê</dc:title>
  <dc:creator>WaterWeave-Tietê</dc:creator>
  <dc:description>Como ocorre a identificação dos determinantes/parâmetros mais relevantes da qualidade da água do Rio Tietê, com resultado real do modelo</dc:description>
  <cp:lastModifiedBy>Silva, José (J.W.)</cp:lastModifiedBy>
  <cp:revision>2</cp:revision>
  <dcterms:created xsi:type="dcterms:W3CDTF">2026-07-28T22:14:00Z</dcterms:created>
  <dcterms:modified xsi:type="dcterms:W3CDTF">2026-07-28T22:35:00Z</dcterms:modified>
</cp:coreProperties>
</file>