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1F1E"/>
          <w:sz w:val="52"/>
        </w:rPr>
        <w:t>Determinantes da Qualidade da Água</w:t>
        <w:br/>
        <w:t>do Rio Tietê (SP)</w:t>
      </w:r>
    </w:p>
    <w:p>
      <w:pPr>
        <w:jc w:val="center"/>
      </w:pPr>
      <w:r>
        <w:rPr>
          <w:color w:val="6B6F68"/>
          <w:sz w:val="24"/>
        </w:rPr>
        <w:t>Análise Exploratória de Dados Integrada — WaterWeave-Tietê</w:t>
        <w:br/>
        <w:t>137.452 medições reais CETESB (1978-2024) · Rede hidrológica real DAEE/ANA (1940-2025)</w:t>
        <w:br/>
        <w:t>Uso do solo real MapBiomas (1985-2023) · Sensoriamento remoto real Landsat (1984-2026) · Clima real ERA5/CMIP6</w:t>
      </w:r>
    </w:p>
    <w:p>
      <w:r>
        <w:br w:type="page"/>
      </w:r>
    </w:p>
    <w:p>
      <w:pPr>
        <w:pStyle w:val="Heading1"/>
      </w:pPr>
      <w:r>
        <w:t>Sumário</w:t>
      </w:r>
    </w:p>
    <w:p>
      <w:r>
        <w:rPr>
          <w:sz w:val="22"/>
        </w:rPr>
        <w:t>01 — Introdução, dados e metodologia</w:t>
      </w:r>
    </w:p>
    <w:p>
      <w:r>
        <w:rPr>
          <w:sz w:val="22"/>
        </w:rPr>
        <w:t>02 — Estatística descritiva por região e variável</w:t>
      </w:r>
    </w:p>
    <w:p>
      <w:r>
        <w:rPr>
          <w:sz w:val="22"/>
        </w:rPr>
        <w:t>03 — Séries temporais: matéria orgânica e elementos lançados no rio</w:t>
      </w:r>
    </w:p>
    <w:p>
      <w:r>
        <w:rPr>
          <w:sz w:val="22"/>
        </w:rPr>
        <w:t>04 — Distribuição de frequência dos parâmetros de solo/sedimentos</w:t>
      </w:r>
    </w:p>
    <w:p>
      <w:r>
        <w:rPr>
          <w:sz w:val="22"/>
        </w:rPr>
        <w:t>05 — Boxplots dos parâmetros de solo por sub-bacia</w:t>
      </w:r>
    </w:p>
    <w:p>
      <w:r>
        <w:rPr>
          <w:sz w:val="22"/>
        </w:rPr>
        <w:t>06 — Matriz de dispersão (pairplot): solo/sedimento × pluvial × fluvial</w:t>
      </w:r>
    </w:p>
    <w:p>
      <w:r>
        <w:rPr>
          <w:sz w:val="22"/>
        </w:rPr>
        <w:t>07 — Heatmap de precipitação mensal por trecho</w:t>
      </w:r>
    </w:p>
    <w:p>
      <w:r>
        <w:rPr>
          <w:sz w:val="22"/>
        </w:rPr>
        <w:t>08 — Matriz de correlação de Pearson — parâmetros de solo/sedimentos</w:t>
      </w:r>
    </w:p>
    <w:p>
      <w:r>
        <w:rPr>
          <w:sz w:val="22"/>
        </w:rPr>
        <w:t>09 — Correlação cruzada: fluviometria × pluviometria (com defasagem)</w:t>
      </w:r>
    </w:p>
    <w:p>
      <w:r>
        <w:rPr>
          <w:sz w:val="22"/>
        </w:rPr>
        <w:t>10 — Matriz de correlação de Spearman — 13 parâmetros CETESB</w:t>
      </w:r>
    </w:p>
    <w:p>
      <w:r>
        <w:rPr>
          <w:sz w:val="22"/>
        </w:rPr>
        <w:t>11 — Teste de Mann-Kendall — tendências por parâmetro e sub-bacia</w:t>
      </w:r>
    </w:p>
    <w:p>
      <w:r>
        <w:rPr>
          <w:sz w:val="22"/>
        </w:rPr>
        <w:t>12 — Decomposição de séries temporais (tendência, sazonalidade, resíduo)</w:t>
      </w:r>
    </w:p>
    <w:p>
      <w:r>
        <w:rPr>
          <w:sz w:val="22"/>
        </w:rPr>
        <w:t>13 — Análise hidrológica avançada</w:t>
      </w:r>
    </w:p>
    <w:p>
      <w:r>
        <w:rPr>
          <w:sz w:val="22"/>
        </w:rPr>
        <w:t>14 — Detecção de anomalias: Z-score e IQR</w:t>
      </w:r>
    </w:p>
    <w:p>
      <w:r>
        <w:rPr>
          <w:sz w:val="22"/>
        </w:rPr>
        <w:t>15 — Machine Learning: SHAP, matriz de confusão e matriz de dispersão</w:t>
      </w:r>
    </w:p>
    <w:p>
      <w:r>
        <w:rPr>
          <w:sz w:val="22"/>
        </w:rPr>
        <w:t>16 — Painel executivo integrado</w:t>
      </w:r>
    </w:p>
    <w:p>
      <w:r>
        <w:rPr>
          <w:sz w:val="22"/>
        </w:rPr>
        <w:t>17 — As 5 perguntas científicas em aberto</w:t>
      </w:r>
    </w:p>
    <w:p>
      <w:r>
        <w:rPr>
          <w:sz w:val="22"/>
        </w:rPr>
        <w:t>18 — Limitações, proveniência e recomendações</w:t>
      </w:r>
    </w:p>
    <w:p>
      <w:r>
        <w:rPr>
          <w:sz w:val="22"/>
        </w:rPr>
        <w:t>19 — O desafio das águas opticamente complexas</w:t>
      </w:r>
    </w:p>
    <w:p>
      <w:r>
        <w:rPr>
          <w:sz w:val="22"/>
        </w:rPr>
        <w:t>20 — Parâmetros opticamente ativos reais: cobertura, séries e distribuição</w:t>
      </w:r>
    </w:p>
    <w:p>
      <w:r>
        <w:rPr>
          <w:sz w:val="22"/>
        </w:rPr>
        <w:t>21 — Correlação entre proxies ópticos e parâmetros não-opticamente-ativos</w:t>
      </w:r>
    </w:p>
    <w:p>
      <w:r>
        <w:rPr>
          <w:sz w:val="22"/>
        </w:rPr>
        <w:t>22 — Modelo de Machine Learning: inferindo parâmetros não-ópticos a partir de um proxy óptico real</w:t>
      </w:r>
    </w:p>
    <w:p>
      <w:r>
        <w:rPr>
          <w:sz w:val="22"/>
        </w:rPr>
        <w:t>23 — Teste de generalização espaço-temporal do modelo</w:t>
      </w:r>
    </w:p>
    <w:p>
      <w:r>
        <w:rPr>
          <w:sz w:val="22"/>
        </w:rPr>
        <w:t>24 — Decomposição de causas da Turbidez: erosão × eutrofização × poluição pontual</w:t>
      </w:r>
    </w:p>
    <w:p>
      <w:r>
        <w:rPr>
          <w:sz w:val="22"/>
        </w:rPr>
        <w:t>25 — Variáveis contextuais: uso do solo real (MapBiomas)</w:t>
      </w:r>
    </w:p>
    <w:p>
      <w:r>
        <w:rPr>
          <w:sz w:val="22"/>
        </w:rPr>
        <w:t>26 — Sensoriamento remoto real (Landsat): resolução espacial × temporal vs. rede in situ</w:t>
      </w:r>
    </w:p>
    <w:p>
      <w:r>
        <w:rPr>
          <w:sz w:val="22"/>
        </w:rPr>
        <w:t>27 — Clima real: reanálise ERA5 e projeções CMIP6</w:t>
      </w:r>
    </w:p>
    <w:p>
      <w:r>
        <w:rPr>
          <w:sz w:val="22"/>
        </w:rPr>
        <w:t>28 — Síntese: respostas às perguntas do documento de referência</w:t>
      </w:r>
    </w:p>
    <w:p>
      <w:r>
        <w:br w:type="page"/>
      </w:r>
    </w:p>
    <w:p>
      <w:pPr>
        <w:pStyle w:val="Heading1"/>
      </w:pPr>
      <w:r>
        <w:t>01 — Introdução, dados e metodologia</w:t>
      </w:r>
    </w:p>
    <w:p>
      <w:r>
        <w:t>Este relatório integra, num único documento, a análise exploratória de dados (EDA) de todas as</w:t>
        <w:br/>
        <w:t>fontes materializadas pelo pipeline WaterWeave-Tietê: 2.397.437 medições reais da rede de qualidade da água da</w:t>
        <w:br/>
        <w:t>CETESB (1978-2024), a rede fluvio-pluviométrica real do DAEE/ANA (1940-2025), e a planilha histórica de</w:t>
        <w:br/>
        <w:t xml:space="preserve">solo/sedimentos (fonte simulada, usada apenas como </w:t>
      </w:r>
      <w:r>
        <w:rPr>
          <w:i/>
        </w:rPr>
        <w:t>fallback</w:t>
      </w:r>
      <w:r>
        <w:t xml:space="preserve"> para os anos sem cobertura real, 1940-1977).</w:t>
        <w:br/>
        <w:t>Nenhum número aqui foi assumido a priori: cada gráfico e cada estatística foi recalculado diretamente das tabelas</w:t>
        <w:br/>
        <w:t>Bronze/Silver/Gold do pipeline no momento da geração deste relatório.</w:t>
      </w:r>
    </w:p>
    <w:p>
      <w:r>
        <w:rPr>
          <w:i/>
          <w:color w:val="6B6F68"/>
          <w:sz w:val="18"/>
        </w:rPr>
        <w:t>● CETESB real — 137.452 medições, eixo do Tietê, 1978-2024 · ● DAEE/ANA real — vazão e chuva, 1940-2025 · ● Planilha solo/sedimentos — simulada, fallback apenas</w:t>
      </w:r>
    </w:p>
    <w:p>
      <w:pPr>
        <w:pStyle w:val="Heading3"/>
      </w:pPr>
      <w:r>
        <w:t>Painel de 13 parâmetros CETESB</w:t>
      </w:r>
    </w:p>
    <w:p>
      <w:r>
        <w:t>A rede CETESB registra 363 parâmetros distintos no eixo do Tietê, com cobertura muito desigual (de 2 a mais de</w:t>
        <w:br/>
        <w:t>4.000 medições por parâmetro). Para as análises de correlação (Pearson/Spearman) e Mann-Kendall que exigem uma</w:t>
        <w:br/>
        <w:t xml:space="preserve">série comparável, selecionamos os </w:t>
      </w:r>
      <w:r>
        <w:rPr>
          <w:b/>
        </w:rPr>
        <w:t>13 parâmetros com maior cobertura real</w:t>
      </w:r>
      <w:r>
        <w:t xml:space="preserve"> — critério objetivo, não</w:t>
        <w:br/>
        <w:t>uma escolha arbitrária: Temperatura da Água, pH, Sólido Total, Turbidez, Fósforo Total, Nitrogênio-Nitrato,</w:t>
        <w:br/>
        <w:t>Nitrogênio Amoniacal, Oxigênio Dissolvido, DBO, Zinco Total, Mercúrio Total, Condutividade e Coliformes</w:t>
        <w:br/>
        <w:t>Termotolerantes (todos com ≥ 3.130 medições reais no eixo do Tietê). Os metais adicionais do índice</w:t>
        <w:br/>
      </w:r>
      <w:r>
        <w:rPr>
          <w:rFonts w:ascii="Consolas" w:hAnsi="Consolas"/>
          <w:color w:val="2A78D6"/>
          <w:sz w:val="19"/>
        </w:rPr>
        <w:t>metais_pesados_ppm</w:t>
      </w:r>
      <w:r>
        <w:t xml:space="preserve"> (Chumbo, Cádmio, Níquel, Crômio) entram nas análises de tendência e nas séries</w:t>
        <w:br/>
        <w:t>temporais, mas ficam fora da matriz de correlação principal para não diluir o painel com parâmetros de cobertura</w:t>
        <w:br/>
        <w:t>mais baixa (2.374-3.090 medições).</w:t>
      </w:r>
    </w:p>
    <w:tbl>
      <w:tblPr>
        <w:tblW w:type="auto" w:w="0"/>
        <w:tblLook w:firstColumn="1" w:firstRow="1" w:lastColumn="0" w:lastRow="0" w:noHBand="0" w:noVBand="1" w:val="04A0"/>
      </w:tblPr>
      <w:tblGrid>
        <w:gridCol w:w="2160"/>
        <w:gridCol w:w="2160"/>
        <w:gridCol w:w="2160"/>
        <w:gridCol w:w="2160"/>
      </w:tblGrid>
      <w:tr>
        <w:tc>
          <w:tcPr>
            <w:tcW w:type="dxa" w:w="2160"/>
            <w:shd w:fill="F2F1EE"/>
          </w:tcPr>
          <w:p>
            <w:r/>
            <w:r>
              <w:rPr>
                <w:b/>
                <w:color w:val="6B6F68"/>
                <w:sz w:val="15"/>
              </w:rPr>
              <w:t>Medições reais (rede toda)</w:t>
            </w:r>
          </w:p>
          <w:p>
            <w:r>
              <w:rPr>
                <w:b/>
                <w:sz w:val="30"/>
              </w:rPr>
              <w:t>2.397.437</w:t>
            </w:r>
          </w:p>
          <w:p>
            <w:r>
              <w:rPr>
                <w:color w:val="6B6F68"/>
                <w:sz w:val="15"/>
              </w:rPr>
              <w:t>699 pontos, todo o estado de SP</w:t>
            </w:r>
          </w:p>
        </w:tc>
        <w:tc>
          <w:tcPr>
            <w:tcW w:type="dxa" w:w="2160"/>
            <w:shd w:fill="F2F1EE"/>
          </w:tcPr>
          <w:p>
            <w:r/>
            <w:r>
              <w:rPr>
                <w:b/>
                <w:color w:val="6B6F68"/>
                <w:sz w:val="15"/>
              </w:rPr>
              <w:t>Medições reais (eixo Tietê)</w:t>
            </w:r>
          </w:p>
          <w:p>
            <w:r>
              <w:rPr>
                <w:b/>
                <w:sz w:val="30"/>
              </w:rPr>
              <w:t>137.452</w:t>
            </w:r>
          </w:p>
          <w:p>
            <w:r>
              <w:rPr>
                <w:color w:val="6B6F68"/>
                <w:sz w:val="15"/>
              </w:rPr>
              <w:t>32 pontos, 1978-2024</w:t>
            </w:r>
          </w:p>
        </w:tc>
        <w:tc>
          <w:tcPr>
            <w:tcW w:type="dxa" w:w="2160"/>
            <w:shd w:fill="F2F1EE"/>
          </w:tcPr>
          <w:p>
            <w:r/>
            <w:r>
              <w:rPr>
                <w:b/>
                <w:color w:val="6B6F68"/>
                <w:sz w:val="15"/>
              </w:rPr>
              <w:t>Eventos de coleta pareados</w:t>
            </w:r>
          </w:p>
          <w:p>
            <w:r>
              <w:rPr>
                <w:b/>
                <w:sz w:val="30"/>
              </w:rPr>
              <w:t>4.258</w:t>
            </w:r>
          </w:p>
          <w:p>
            <w:r>
              <w:rPr>
                <w:color w:val="6B6F68"/>
                <w:sz w:val="15"/>
              </w:rPr>
              <w:t>usados nas correlações Spearman</w:t>
            </w:r>
          </w:p>
        </w:tc>
        <w:tc>
          <w:tcPr>
            <w:tcW w:type="dxa" w:w="2160"/>
            <w:shd w:fill="F2F1EE"/>
          </w:tcPr>
          <w:p>
            <w:r/>
            <w:r>
              <w:rPr>
                <w:b/>
                <w:color w:val="6B6F68"/>
                <w:sz w:val="15"/>
              </w:rPr>
              <w:t>Séries testadas (Mann-Kendall)</w:t>
            </w:r>
          </w:p>
          <w:p>
            <w:r>
              <w:rPr>
                <w:b/>
                <w:sz w:val="30"/>
              </w:rPr>
              <w:t>69</w:t>
            </w:r>
          </w:p>
          <w:p>
            <w:r>
              <w:rPr>
                <w:color w:val="6B6F68"/>
                <w:sz w:val="15"/>
              </w:rPr>
              <w:t>17 parâmetros × 3 trechos + agregados</w:t>
            </w:r>
          </w:p>
        </w:tc>
      </w:tr>
    </w:tbl>
    <w:p/>
    <w:p>
      <w:r>
        <w:t xml:space="preserve">Todas as análises abaixo seguem a mesma divisão espacial já usada no dashboard operacional: </w:t>
      </w:r>
      <w:r>
        <w:rPr>
          <w:b/>
        </w:rPr>
        <w:t>Alto</w:t>
        <w:br/>
        <w:t>Tietê</w:t>
      </w:r>
      <w:r>
        <w:t xml:space="preserve"> (região metropolitana de SP, 10 pontos CETESB), </w:t>
      </w:r>
      <w:r>
        <w:rPr>
          <w:b/>
        </w:rPr>
        <w:t>Médio Tietê</w:t>
      </w:r>
      <w:r>
        <w:t xml:space="preserve"> (20 pontos, a maior</w:t>
        <w:br/>
        <w:t xml:space="preserve">cobertura) e </w:t>
      </w:r>
      <w:r>
        <w:rPr>
          <w:b/>
        </w:rPr>
        <w:t>Baixo Tietê</w:t>
      </w:r>
      <w:r>
        <w:t xml:space="preserve"> (2 pontos, cobertura mais esparsa — resultado a interpretar com mais</w:t>
        <w:br/>
        <w:t>cautela estatística).</w:t>
      </w:r>
    </w:p>
    <w:p>
      <w:r>
        <w:br w:type="page"/>
      </w:r>
    </w:p>
    <w:p>
      <w:pPr>
        <w:pStyle w:val="Heading1"/>
      </w:pPr>
      <w:r>
        <w:t>02 — Estatística descritiva por região e variável</w:t>
      </w:r>
    </w:p>
    <w:p>
      <w:r>
        <w:t>A tabela completa (média, desvio padrão, mediana, quartis e extremos) para os 13 parâmetros CETESB</w:t>
        <w:br/>
        <w:t xml:space="preserve">e para os 6 indicadores da planilha solo/sedimentos, por trecho, foi calculada via </w:t>
      </w:r>
      <w:r>
        <w:rPr>
          <w:rFonts w:ascii="Consolas" w:hAnsi="Consolas"/>
          <w:color w:val="2A78D6"/>
          <w:sz w:val="19"/>
        </w:rPr>
        <w:t>DataFrame.describe()</w:t>
      </w:r>
      <w:r>
        <w:br/>
        <w:t xml:space="preserve">agrupado por </w:t>
      </w:r>
      <w:r>
        <w:rPr>
          <w:rFonts w:ascii="Consolas" w:hAnsi="Consolas"/>
          <w:color w:val="2A78D6"/>
          <w:sz w:val="19"/>
        </w:rPr>
        <w:t>trecho_id</w:t>
      </w:r>
      <w:r>
        <w:t xml:space="preserve"> e está disponível nos arquivos </w:t>
      </w:r>
      <w:r>
        <w:rPr>
          <w:rFonts w:ascii="Consolas" w:hAnsi="Consolas"/>
          <w:color w:val="2A78D6"/>
          <w:sz w:val="19"/>
        </w:rPr>
        <w:t>describe_cetesb13_por_trecho.csv</w:t>
      </w:r>
      <w:r>
        <w:t xml:space="preserve"> e</w:t>
        <w:br/>
      </w:r>
      <w:r>
        <w:rPr>
          <w:rFonts w:ascii="Consolas" w:hAnsi="Consolas"/>
          <w:color w:val="2A78D6"/>
          <w:sz w:val="19"/>
        </w:rPr>
        <w:t>describe_solo_por_trecho.csv</w:t>
      </w:r>
      <w:r>
        <w:t xml:space="preserve"> gerados junto deste relatório. Os pontos centrais já apareceram no</w:t>
        <w:br/>
        <w:t>relatório de diagnóstico anterior (OD real médio 4,25 mg/L, DBO real médio 14,9 mg/L no eixo do Tietê); aqui</w:t>
        <w:br/>
        <w:t xml:space="preserve">destacamos a leitura </w:t>
      </w:r>
      <w:r>
        <w:rPr>
          <w:b/>
        </w:rPr>
        <w:t>por trecho</w:t>
      </w:r>
      <w:r>
        <w:t>, que é onde a heterogeneidade do rio aparece: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Trecho</w:t>
            </w:r>
          </w:p>
        </w:tc>
        <w:tc>
          <w:tcPr>
            <w:tcW w:type="dxa" w:w="1440"/>
          </w:tcPr>
          <w:p>
            <w:r/>
            <w:r>
              <w:rPr>
                <w:b/>
                <w:sz w:val="17"/>
              </w:rPr>
              <w:t>Último ano c/ medição real</w:t>
            </w:r>
          </w:p>
        </w:tc>
        <w:tc>
          <w:tcPr>
            <w:tcW w:type="dxa" w:w="1440"/>
          </w:tcPr>
          <w:p>
            <w:r/>
            <w:r>
              <w:rPr>
                <w:b/>
                <w:sz w:val="17"/>
              </w:rPr>
              <w:t>IQA</w:t>
            </w:r>
          </w:p>
        </w:tc>
        <w:tc>
          <w:tcPr>
            <w:tcW w:type="dxa" w:w="1440"/>
          </w:tcPr>
          <w:p>
            <w:r/>
            <w:r>
              <w:rPr>
                <w:b/>
                <w:sz w:val="17"/>
              </w:rPr>
              <w:t>OD (mg/L)</w:t>
            </w:r>
          </w:p>
        </w:tc>
        <w:tc>
          <w:tcPr>
            <w:tcW w:type="dxa" w:w="1440"/>
          </w:tcPr>
          <w:p>
            <w:r/>
            <w:r>
              <w:rPr>
                <w:b/>
                <w:sz w:val="17"/>
              </w:rPr>
              <w:t>DBO (mg/L)</w:t>
            </w:r>
          </w:p>
        </w:tc>
        <w:tc>
          <w:tcPr>
            <w:tcW w:type="dxa" w:w="1440"/>
          </w:tcPr>
          <w:p>
            <w:r/>
            <w:r>
              <w:rPr>
                <w:b/>
                <w:sz w:val="17"/>
              </w:rPr>
              <w:t>Pontos CETESB</w:t>
            </w:r>
          </w:p>
        </w:tc>
      </w:tr>
      <w:tr>
        <w:tc>
          <w:tcPr>
            <w:tcW w:type="dxa" w:w="1440"/>
          </w:tcPr>
          <w:p>
            <w:r/>
            <w:r>
              <w:rPr>
                <w:sz w:val="18"/>
              </w:rPr>
              <w:t>Alto Tietê</w:t>
            </w:r>
          </w:p>
        </w:tc>
        <w:tc>
          <w:tcPr>
            <w:tcW w:type="dxa" w:w="1440"/>
          </w:tcPr>
          <w:p>
            <w:r/>
            <w:r>
              <w:rPr>
                <w:sz w:val="18"/>
              </w:rPr>
              <w:t>2023</w:t>
            </w:r>
          </w:p>
        </w:tc>
        <w:tc>
          <w:tcPr>
            <w:tcW w:type="dxa" w:w="1440"/>
          </w:tcPr>
          <w:p>
            <w:r/>
            <w:r>
              <w:rPr>
                <w:sz w:val="18"/>
              </w:rPr>
              <w:t>13,4</w:t>
            </w:r>
          </w:p>
        </w:tc>
        <w:tc>
          <w:tcPr>
            <w:tcW w:type="dxa" w:w="1440"/>
          </w:tcPr>
          <w:p>
            <w:r/>
            <w:r>
              <w:rPr>
                <w:sz w:val="18"/>
              </w:rPr>
              <w:t>1,79</w:t>
            </w:r>
          </w:p>
        </w:tc>
        <w:tc>
          <w:tcPr>
            <w:tcW w:type="dxa" w:w="1440"/>
          </w:tcPr>
          <w:p>
            <w:r/>
            <w:r>
              <w:rPr>
                <w:sz w:val="18"/>
              </w:rPr>
              <w:t>34,60</w:t>
            </w:r>
          </w:p>
        </w:tc>
        <w:tc>
          <w:tcPr>
            <w:tcW w:type="dxa" w:w="1440"/>
          </w:tcPr>
          <w:p>
            <w:r/>
            <w:r>
              <w:rPr>
                <w:sz w:val="18"/>
              </w:rPr>
              <w:t>10</w:t>
            </w:r>
          </w:p>
        </w:tc>
      </w:tr>
      <w:tr>
        <w:tc>
          <w:tcPr>
            <w:tcW w:type="dxa" w:w="1440"/>
          </w:tcPr>
          <w:p>
            <w:r/>
            <w:r>
              <w:rPr>
                <w:sz w:val="18"/>
              </w:rPr>
              <w:t>Médio Tietê</w:t>
            </w:r>
          </w:p>
        </w:tc>
        <w:tc>
          <w:tcPr>
            <w:tcW w:type="dxa" w:w="1440"/>
          </w:tcPr>
          <w:p>
            <w:r/>
            <w:r>
              <w:rPr>
                <w:sz w:val="18"/>
              </w:rPr>
              <w:t>2022</w:t>
            </w:r>
          </w:p>
        </w:tc>
        <w:tc>
          <w:tcPr>
            <w:tcW w:type="dxa" w:w="1440"/>
          </w:tcPr>
          <w:p>
            <w:r/>
            <w:r>
              <w:rPr>
                <w:sz w:val="18"/>
              </w:rPr>
              <w:t>35,2</w:t>
            </w:r>
          </w:p>
        </w:tc>
        <w:tc>
          <w:tcPr>
            <w:tcW w:type="dxa" w:w="1440"/>
          </w:tcPr>
          <w:p>
            <w:r/>
            <w:r>
              <w:rPr>
                <w:sz w:val="18"/>
              </w:rPr>
              <w:t>4,70</w:t>
            </w:r>
          </w:p>
        </w:tc>
        <w:tc>
          <w:tcPr>
            <w:tcW w:type="dxa" w:w="1440"/>
          </w:tcPr>
          <w:p>
            <w:r/>
            <w:r>
              <w:rPr>
                <w:sz w:val="18"/>
              </w:rPr>
              <w:t>14,00</w:t>
            </w:r>
          </w:p>
        </w:tc>
        <w:tc>
          <w:tcPr>
            <w:tcW w:type="dxa" w:w="1440"/>
          </w:tcPr>
          <w:p>
            <w:r/>
            <w:r>
              <w:rPr>
                <w:sz w:val="18"/>
              </w:rPr>
              <w:t>20</w:t>
            </w:r>
          </w:p>
        </w:tc>
      </w:tr>
      <w:tr>
        <w:tc>
          <w:tcPr>
            <w:tcW w:type="dxa" w:w="1440"/>
          </w:tcPr>
          <w:p>
            <w:r/>
            <w:r>
              <w:rPr>
                <w:sz w:val="18"/>
              </w:rPr>
              <w:t>Baixo Tietê</w:t>
            </w:r>
          </w:p>
        </w:tc>
        <w:tc>
          <w:tcPr>
            <w:tcW w:type="dxa" w:w="1440"/>
          </w:tcPr>
          <w:p>
            <w:r/>
            <w:r>
              <w:rPr>
                <w:sz w:val="18"/>
              </w:rPr>
              <w:t>2021</w:t>
            </w:r>
          </w:p>
        </w:tc>
        <w:tc>
          <w:tcPr>
            <w:tcW w:type="dxa" w:w="1440"/>
          </w:tcPr>
          <w:p>
            <w:r/>
            <w:r>
              <w:rPr>
                <w:sz w:val="18"/>
              </w:rPr>
              <w:t>78,2</w:t>
            </w:r>
          </w:p>
        </w:tc>
        <w:tc>
          <w:tcPr>
            <w:tcW w:type="dxa" w:w="1440"/>
          </w:tcPr>
          <w:p>
            <w:r/>
            <w:r>
              <w:rPr>
                <w:sz w:val="18"/>
              </w:rPr>
              <w:t>6,09</w:t>
            </w:r>
          </w:p>
        </w:tc>
        <w:tc>
          <w:tcPr>
            <w:tcW w:type="dxa" w:w="1440"/>
          </w:tcPr>
          <w:p>
            <w:r/>
            <w:r>
              <w:rPr>
                <w:sz w:val="18"/>
              </w:rPr>
              <w:t>1,86</w:t>
            </w:r>
          </w:p>
        </w:tc>
        <w:tc>
          <w:tcPr>
            <w:tcW w:type="dxa" w:w="1440"/>
          </w:tcPr>
          <w:p>
            <w:r/>
            <w:r>
              <w:rPr>
                <w:sz w:val="18"/>
              </w:rPr>
              <w:t>2</w:t>
            </w:r>
          </w:p>
        </w:tc>
      </w:tr>
    </w:tbl>
    <w:p>
      <w:r>
        <w:t>Valores do último ano com medição CETESB real disponível para</w:t>
        <w:br/>
        <w:t>cada trecho (a defasagem de 1-2 anos entre trechos reflete apenas o calendário de coleta, não uma lacuna do</w:t>
        <w:br/>
        <w:t xml:space="preserve">pipeline). Note que o ano-calendário mais recente por trecho difere — </w:t>
      </w:r>
      <w:r>
        <w:rPr>
          <w:rFonts w:ascii="Consolas" w:hAnsi="Consolas"/>
          <w:color w:val="2A78D6"/>
          <w:sz w:val="19"/>
        </w:rPr>
        <w:t>gold.feature_store_ml</w:t>
      </w:r>
      <w:r>
        <w:br/>
        <w:t>preenche os anos/trechos sem medição nova com a série simulada de fallback, então os números "mais recentes" que</w:t>
        <w:br/>
        <w:t>aparecem no dashboard de produção podem diferir ligeiramente destes por incorporar esse preenchimento.</w:t>
      </w:r>
    </w:p>
    <w:p>
      <w:r>
        <w:t>O gradiente é monotônico e fisicamente coerente: a qualidade da água piora conforme o rio atravessa a Região</w:t>
        <w:br/>
        <w:t>Metropolitana de São Paulo (Alto Tietê) e melhora progressivamente rio abaixo, à medida que o volume de água</w:t>
        <w:br/>
        <w:t>aumenta (efeito de diluição) e a densidade de lançamentos urbanos cai. Isso já era conhecido qualitativamente;</w:t>
        <w:br/>
        <w:t xml:space="preserve">o valor desta EDA é quantificar a magnitude — o Alto Tietê tem OD </w:t>
      </w:r>
      <w:r>
        <w:rPr>
          <w:b/>
        </w:rPr>
        <w:t>3,4× menor</w:t>
      </w:r>
      <w:r>
        <w:t xml:space="preserve"> e DBO</w:t>
        <w:br/>
      </w:r>
      <w:r>
        <w:rPr>
          <w:b/>
        </w:rPr>
        <w:t>18,6× maior</w:t>
      </w:r>
      <w:r>
        <w:t xml:space="preserve"> que o Baixo Tietê no último ano real de cada trecho.</w:t>
      </w:r>
    </w:p>
    <w:p>
      <w:r>
        <w:br w:type="page"/>
      </w:r>
    </w:p>
    <w:p>
      <w:pPr>
        <w:pStyle w:val="Heading1"/>
      </w:pPr>
      <w:r>
        <w:t>03 — Séries temporais: matéria orgânica e elementos lançados no rio</w:t>
      </w:r>
    </w:p>
    <w:p>
      <w:r>
        <w:t>Dois conjuntos de séries temporais respondem a este item, com proveniências diferentes que é</w:t>
        <w:br/>
        <w:t>importante não confundir.</w:t>
      </w:r>
    </w:p>
    <w:p>
      <w:pPr>
        <w:pStyle w:val="Heading3"/>
      </w:pPr>
      <w:r>
        <w:t>3.1 — Matéria orgânica, metais e pesticidas (planilha solo/sedimentos, 1940-2025)</w:t>
      </w:r>
    </w:p>
    <w:p>
      <w:r>
        <w:t xml:space="preserve">Esta é a </w:t>
      </w:r>
      <w:r>
        <w:rPr>
          <w:b/>
        </w:rPr>
        <w:t>única fonte disponível</w:t>
      </w:r>
      <w:r>
        <w:t xml:space="preserve"> para matéria orgânica de sedimento e pesticidas agregados —</w:t>
        <w:br/>
        <w:t xml:space="preserve">a CETESB não mede nenhum dos dois na coluna d'água. É importante lembrar: esta série é </w:t>
      </w:r>
      <w:r>
        <w:rPr>
          <w:b/>
        </w:rPr>
        <w:t>simulada</w:t>
      </w:r>
      <w:r>
        <w:br/>
        <w:t xml:space="preserve">(proxy histórico), usada em produção apenas como </w:t>
      </w:r>
      <w:r>
        <w:rPr>
          <w:i/>
        </w:rPr>
        <w:t>fallback</w:t>
      </w:r>
      <w:r>
        <w:t xml:space="preserve"> para os anos sem medição real (1940-1977).</w:t>
      </w:r>
    </w:p>
    <w:p>
      <w:pPr>
        <w:jc w:val="center"/>
      </w:pPr>
      <w:r>
        <w:drawing>
          <wp:inline xmlns:a="http://schemas.openxmlformats.org/drawingml/2006/main" xmlns:pic="http://schemas.openxmlformats.org/drawingml/2006/picture">
            <wp:extent cx="5580000" cy="2621758"/>
            <wp:docPr id="1" name="Picture 1"/>
            <wp:cNvGraphicFramePr>
              <a:graphicFrameLocks noChangeAspect="1"/>
            </wp:cNvGraphicFramePr>
            <a:graphic>
              <a:graphicData uri="http://schemas.openxmlformats.org/drawingml/2006/picture">
                <pic:pic>
                  <pic:nvPicPr>
                    <pic:cNvPr id="0" name="serie_materia_organica.png"/>
                    <pic:cNvPicPr/>
                  </pic:nvPicPr>
                  <pic:blipFill>
                    <a:blip r:embed="rId9"/>
                    <a:stretch>
                      <a:fillRect/>
                    </a:stretch>
                  </pic:blipFill>
                  <pic:spPr>
                    <a:xfrm>
                      <a:off x="0" y="0"/>
                      <a:ext cx="5580000" cy="2621758"/>
                    </a:xfrm>
                    <a:prstGeom prst="rect"/>
                  </pic:spPr>
                </pic:pic>
              </a:graphicData>
            </a:graphic>
          </wp:inline>
        </w:drawing>
      </w:r>
    </w:p>
    <w:p>
      <w:pPr>
        <w:jc w:val="center"/>
      </w:pPr>
      <w:r>
        <w:rPr>
          <w:i/>
          <w:color w:val="6B6F68"/>
          <w:sz w:val="18"/>
        </w:rPr>
        <w:t>Matéria orgânica no sedimento (%), 1940-2025, por trecho.</w:t>
        <w:br/>
        <w:t>Fonte simulada.</w:t>
      </w:r>
    </w:p>
    <w:p>
      <w:pPr>
        <w:jc w:val="center"/>
      </w:pPr>
      <w:r>
        <w:drawing>
          <wp:inline xmlns:a="http://schemas.openxmlformats.org/drawingml/2006/main" xmlns:pic="http://schemas.openxmlformats.org/drawingml/2006/picture">
            <wp:extent cx="5580000" cy="2621758"/>
            <wp:docPr id="2" name="Picture 2"/>
            <wp:cNvGraphicFramePr>
              <a:graphicFrameLocks noChangeAspect="1"/>
            </wp:cNvGraphicFramePr>
            <a:graphic>
              <a:graphicData uri="http://schemas.openxmlformats.org/drawingml/2006/picture">
                <pic:pic>
                  <pic:nvPicPr>
                    <pic:cNvPr id="0" name="serie_metais_simulado.png"/>
                    <pic:cNvPicPr/>
                  </pic:nvPicPr>
                  <pic:blipFill>
                    <a:blip r:embed="rId10"/>
                    <a:stretch>
                      <a:fillRect/>
                    </a:stretch>
                  </pic:blipFill>
                  <pic:spPr>
                    <a:xfrm>
                      <a:off x="0" y="0"/>
                      <a:ext cx="5580000" cy="2621758"/>
                    </a:xfrm>
                    <a:prstGeom prst="rect"/>
                  </pic:spPr>
                </pic:pic>
              </a:graphicData>
            </a:graphic>
          </wp:inline>
        </w:drawing>
      </w:r>
    </w:p>
    <w:p>
      <w:pPr>
        <w:jc w:val="center"/>
      </w:pPr>
      <w:r>
        <w:rPr>
          <w:i/>
          <w:color w:val="6B6F68"/>
          <w:sz w:val="18"/>
        </w:rPr>
        <w:t>Metais pesados agregados (ppm) — fonte simulada.</w:t>
      </w:r>
    </w:p>
    <w:p>
      <w:pPr>
        <w:jc w:val="center"/>
      </w:pPr>
      <w:r>
        <w:drawing>
          <wp:inline xmlns:a="http://schemas.openxmlformats.org/drawingml/2006/main" xmlns:pic="http://schemas.openxmlformats.org/drawingml/2006/picture">
            <wp:extent cx="5580000" cy="2646136"/>
            <wp:docPr id="3" name="Picture 3"/>
            <wp:cNvGraphicFramePr>
              <a:graphicFrameLocks noChangeAspect="1"/>
            </wp:cNvGraphicFramePr>
            <a:graphic>
              <a:graphicData uri="http://schemas.openxmlformats.org/drawingml/2006/picture">
                <pic:pic>
                  <pic:nvPicPr>
                    <pic:cNvPr id="0" name="serie_pesticidas_simulado.png"/>
                    <pic:cNvPicPr/>
                  </pic:nvPicPr>
                  <pic:blipFill>
                    <a:blip r:embed="rId11"/>
                    <a:stretch>
                      <a:fillRect/>
                    </a:stretch>
                  </pic:blipFill>
                  <pic:spPr>
                    <a:xfrm>
                      <a:off x="0" y="0"/>
                      <a:ext cx="5580000" cy="2646136"/>
                    </a:xfrm>
                    <a:prstGeom prst="rect"/>
                  </pic:spPr>
                </pic:pic>
              </a:graphicData>
            </a:graphic>
          </wp:inline>
        </w:drawing>
      </w:r>
    </w:p>
    <w:p>
      <w:pPr>
        <w:jc w:val="center"/>
      </w:pPr>
      <w:r>
        <w:rPr>
          <w:i/>
          <w:color w:val="6B6F68"/>
          <w:sz w:val="18"/>
        </w:rPr>
        <w:t>Pesticidas/agrotóxicos agregados (ppm) — fonte simulada.</w:t>
      </w:r>
    </w:p>
    <w:p>
      <w:pPr>
        <w:pStyle w:val="Heading3"/>
      </w:pPr>
      <w:r>
        <w:t>3.2 — Elementos REAIS medidos pela CETESB (1978-2024)</w:t>
      </w:r>
    </w:p>
    <w:p>
      <w:r>
        <w:t>Estas são medições reais, individuais por composto — a evidência mais direta que este projeto tem sobre "o que</w:t>
        <w:br/>
        <w:t>é de fato lançado no rio". Note que os 6 metais pesados têm trajetórias distintas entre si (não se comportam como</w:t>
        <w:br/>
        <w:t>um bloco único), o que já é um indício de que tratá-los como índice composto único (como faz a planilha simulada)</w:t>
        <w:br/>
        <w:t>esconde informação.</w:t>
      </w:r>
    </w:p>
    <w:p>
      <w:pPr>
        <w:jc w:val="center"/>
      </w:pPr>
      <w:r>
        <w:drawing>
          <wp:inline xmlns:a="http://schemas.openxmlformats.org/drawingml/2006/main" xmlns:pic="http://schemas.openxmlformats.org/drawingml/2006/picture">
            <wp:extent cx="5580000" cy="4763767"/>
            <wp:docPr id="4" name="Picture 4"/>
            <wp:cNvGraphicFramePr>
              <a:graphicFrameLocks noChangeAspect="1"/>
            </wp:cNvGraphicFramePr>
            <a:graphic>
              <a:graphicData uri="http://schemas.openxmlformats.org/drawingml/2006/picture">
                <pic:pic>
                  <pic:nvPicPr>
                    <pic:cNvPr id="0" name="serie_metais_reais.png"/>
                    <pic:cNvPicPr/>
                  </pic:nvPicPr>
                  <pic:blipFill>
                    <a:blip r:embed="rId12"/>
                    <a:stretch>
                      <a:fillRect/>
                    </a:stretch>
                  </pic:blipFill>
                  <pic:spPr>
                    <a:xfrm>
                      <a:off x="0" y="0"/>
                      <a:ext cx="5580000" cy="4763767"/>
                    </a:xfrm>
                    <a:prstGeom prst="rect"/>
                  </pic:spPr>
                </pic:pic>
              </a:graphicData>
            </a:graphic>
          </wp:inline>
        </w:drawing>
      </w:r>
    </w:p>
    <w:p>
      <w:pPr>
        <w:jc w:val="center"/>
      </w:pPr>
      <w:r>
        <w:rPr>
          <w:i/>
          <w:color w:val="6B6F68"/>
          <w:sz w:val="18"/>
        </w:rPr>
        <w:t>Metais pesados reais (ppm), média anual por trecho, CETESB</w:t>
        <w:br/>
        <w:t>1978-2024.</w:t>
      </w:r>
    </w:p>
    <w:p>
      <w:pPr>
        <w:jc w:val="center"/>
      </w:pPr>
      <w:r>
        <w:drawing>
          <wp:inline xmlns:a="http://schemas.openxmlformats.org/drawingml/2006/main" xmlns:pic="http://schemas.openxmlformats.org/drawingml/2006/picture">
            <wp:extent cx="5580000" cy="3373281"/>
            <wp:docPr id="5" name="Picture 5"/>
            <wp:cNvGraphicFramePr>
              <a:graphicFrameLocks noChangeAspect="1"/>
            </wp:cNvGraphicFramePr>
            <a:graphic>
              <a:graphicData uri="http://schemas.openxmlformats.org/drawingml/2006/picture">
                <pic:pic>
                  <pic:nvPicPr>
                    <pic:cNvPr id="0" name="serie_nutrientes_reais.png"/>
                    <pic:cNvPicPr/>
                  </pic:nvPicPr>
                  <pic:blipFill>
                    <a:blip r:embed="rId13"/>
                    <a:stretch>
                      <a:fillRect/>
                    </a:stretch>
                  </pic:blipFill>
                  <pic:spPr>
                    <a:xfrm>
                      <a:off x="0" y="0"/>
                      <a:ext cx="5580000" cy="3373281"/>
                    </a:xfrm>
                    <a:prstGeom prst="rect"/>
                  </pic:spPr>
                </pic:pic>
              </a:graphicData>
            </a:graphic>
          </wp:inline>
        </w:drawing>
      </w:r>
    </w:p>
    <w:p>
      <w:pPr>
        <w:jc w:val="center"/>
      </w:pPr>
      <w:r>
        <w:rPr>
          <w:i/>
          <w:color w:val="6B6F68"/>
          <w:sz w:val="18"/>
        </w:rPr>
        <w:t>Nutrientes e matéria orgânica reais (Fósforo, Nitrogênio</w:t>
        <w:br/>
        <w:t>Amoniacal, Nitrogênio-Nitrato, DBO), média anual por trecho, CETESB 1978-2024.</w:t>
      </w:r>
    </w:p>
    <w:tbl>
      <w:tblPr>
        <w:tblW w:type="auto" w:w="0"/>
        <w:tblLook w:firstColumn="1" w:firstRow="1" w:lastColumn="0" w:lastRow="0" w:noHBand="0" w:noVBand="1" w:val="04A0"/>
      </w:tblPr>
      <w:tblGrid>
        <w:gridCol w:w="8640"/>
      </w:tblGrid>
      <w:tr>
        <w:tc>
          <w:tcPr>
            <w:tcW w:type="dxa" w:w="8640"/>
            <w:shd w:fill="FBEAEA"/>
          </w:tcPr>
          <w:p>
            <w:r/>
            <w:r>
              <w:rPr>
                <w:b/>
                <w:color w:val="D03B3B"/>
                <w:sz w:val="17"/>
              </w:rPr>
              <w:t>ACHADO</w:t>
            </w:r>
          </w:p>
          <w:p>
            <w:r>
              <w:rPr>
                <w:sz w:val="19"/>
              </w:rPr>
              <w:t xml:space="preserve">Fósforo Total, Nitrogênio Amoniacal e DBO mostram uma trajetória de </w:t>
            </w:r>
            <w:r>
              <w:rPr>
                <w:b/>
                <w:sz w:val="19"/>
              </w:rPr>
              <w:t>alta sustentada</w:t>
            </w:r>
            <w:r>
              <w:rPr>
                <w:sz w:val="19"/>
              </w:rPr>
              <w:t xml:space="preserve"> no Alto e</w:t>
              <w:br/>
              <w:t>Médio Tietê a partir dos anos 2000 — o teste de Mann-Kendall (Seção 11) confirma que essa alta é estatisticamente</w:t>
              <w:br/>
              <w:t>significativa e não ruído. Isso é o padrão clássico de poluição orgânica/nutriente de origem urbana (esgoto</w:t>
              <w:br/>
              <w:t>doméstico, difuso e/ou tratamento insuficiente), coerente com o crescimento populacional da Região Metropolitana.</w:t>
            </w:r>
          </w:p>
        </w:tc>
      </w:tr>
    </w:tbl>
    <w:p/>
    <w:p>
      <w:r>
        <w:br w:type="page"/>
      </w:r>
    </w:p>
    <w:p>
      <w:pPr>
        <w:pStyle w:val="Heading1"/>
      </w:pPr>
      <w:r>
        <w:t>04 — Distribuição de frequência dos parâmetros de solo/sedimentos</w:t>
      </w:r>
    </w:p>
    <w:p>
      <w:r>
        <w:t>Histogramas dos 6 indicadores da planilha solo/sedimentos (n=258 linhas, 1940-2025, todos os</w:t>
        <w:br/>
        <w:t>trechos agrupados). Servem para checar normalidade/assimetria antes de qualquer teste paramétrico e para entender</w:t>
        <w:br/>
        <w:t xml:space="preserve">a forma da distribuição que alimenta o </w:t>
      </w:r>
      <w:r>
        <w:rPr>
          <w:i/>
        </w:rPr>
        <w:t>fallback</w:t>
      </w:r>
      <w:r>
        <w:t xml:space="preserve"> do pipeline.</w:t>
      </w:r>
    </w:p>
    <w:p>
      <w:pPr>
        <w:jc w:val="center"/>
      </w:pPr>
      <w:r>
        <w:drawing>
          <wp:inline xmlns:a="http://schemas.openxmlformats.org/drawingml/2006/main" xmlns:pic="http://schemas.openxmlformats.org/drawingml/2006/picture">
            <wp:extent cx="5580000" cy="3113333"/>
            <wp:docPr id="6" name="Picture 6"/>
            <wp:cNvGraphicFramePr>
              <a:graphicFrameLocks noChangeAspect="1"/>
            </wp:cNvGraphicFramePr>
            <a:graphic>
              <a:graphicData uri="http://schemas.openxmlformats.org/drawingml/2006/picture">
                <pic:pic>
                  <pic:nvPicPr>
                    <pic:cNvPr id="0" name="freq_solo_sedimentos.png"/>
                    <pic:cNvPicPr/>
                  </pic:nvPicPr>
                  <pic:blipFill>
                    <a:blip r:embed="rId14"/>
                    <a:stretch>
                      <a:fillRect/>
                    </a:stretch>
                  </pic:blipFill>
                  <pic:spPr>
                    <a:xfrm>
                      <a:off x="0" y="0"/>
                      <a:ext cx="5580000" cy="3113333"/>
                    </a:xfrm>
                    <a:prstGeom prst="rect"/>
                  </pic:spPr>
                </pic:pic>
              </a:graphicData>
            </a:graphic>
          </wp:inline>
        </w:drawing>
      </w:r>
    </w:p>
    <w:p>
      <w:pPr>
        <w:jc w:val="center"/>
      </w:pPr>
      <w:r>
        <w:rPr>
          <w:i/>
          <w:color w:val="6B6F68"/>
          <w:sz w:val="18"/>
        </w:rPr>
        <w:t>Distribuição de frequência — IQA, DBO, OD, metais pesados,</w:t>
        <w:br/>
        <w:t>pesticidas e matéria orgânica (planilha simulada).</w:t>
      </w:r>
    </w:p>
    <w:p>
      <w:r>
        <w:t>IQA e OD têm distribuição razoavelmente simétrica; DBO, metais pesados e matéria orgânica mostram cauda longa</w:t>
        <w:br/>
        <w:t>à direita (poucos anos/trechos com valores muito altos) — condizente com o padrão real observado na Seção 3.2, o</w:t>
        <w:br/>
        <w:t>que sugere que o gerador da série simulada capturou corretamente a assimetria típica de poluentes ambientais</w:t>
        <w:br/>
        <w:t>(a maioria dos períodos "limpa", poucos períodos com picos de contaminação).</w:t>
      </w:r>
    </w:p>
    <w:p>
      <w:r>
        <w:br w:type="page"/>
      </w:r>
    </w:p>
    <w:p>
      <w:pPr>
        <w:pStyle w:val="Heading1"/>
      </w:pPr>
      <w:r>
        <w:t>05 — Boxplots dos parâmetros de solo por sub-bacia</w:t>
      </w:r>
    </w:p>
    <w:p>
      <w:r>
        <w:t>Mesmos 6 indicadores, agora desagregados por trecho — a comparação que realmente importa para</w:t>
        <w:br/>
        <w:t>decisões de gestão (onde priorizar fiscalização e investimento).</w:t>
      </w:r>
    </w:p>
    <w:p>
      <w:pPr>
        <w:jc w:val="center"/>
      </w:pPr>
      <w:r>
        <w:drawing>
          <wp:inline xmlns:a="http://schemas.openxmlformats.org/drawingml/2006/main" xmlns:pic="http://schemas.openxmlformats.org/drawingml/2006/picture">
            <wp:extent cx="5580000" cy="3111475"/>
            <wp:docPr id="7" name="Picture 7"/>
            <wp:cNvGraphicFramePr>
              <a:graphicFrameLocks noChangeAspect="1"/>
            </wp:cNvGraphicFramePr>
            <a:graphic>
              <a:graphicData uri="http://schemas.openxmlformats.org/drawingml/2006/picture">
                <pic:pic>
                  <pic:nvPicPr>
                    <pic:cNvPr id="0" name="boxplot_solo_trecho.png"/>
                    <pic:cNvPicPr/>
                  </pic:nvPicPr>
                  <pic:blipFill>
                    <a:blip r:embed="rId15"/>
                    <a:stretch>
                      <a:fillRect/>
                    </a:stretch>
                  </pic:blipFill>
                  <pic:spPr>
                    <a:xfrm>
                      <a:off x="0" y="0"/>
                      <a:ext cx="5580000" cy="3111475"/>
                    </a:xfrm>
                    <a:prstGeom prst="rect"/>
                  </pic:spPr>
                </pic:pic>
              </a:graphicData>
            </a:graphic>
          </wp:inline>
        </w:drawing>
      </w:r>
    </w:p>
    <w:p>
      <w:pPr>
        <w:jc w:val="center"/>
      </w:pPr>
      <w:r>
        <w:rPr>
          <w:i/>
          <w:color w:val="6B6F68"/>
          <w:sz w:val="18"/>
        </w:rPr>
        <w:t>Boxplots por trecho — IQA, DBO, OD, metais pesados, pesticidas e</w:t>
        <w:br/>
        <w:t>matéria orgânica (planilha simulada).</w:t>
      </w:r>
    </w:p>
    <w:p>
      <w:r>
        <w:t>O padrão Alto &gt; Médio &gt; Baixo em poluição (e o inverso em IQA/OD) se repete de forma consistente em todos os</w:t>
        <w:br/>
        <w:t>6 painéis, com pouca sobreposição de caixas entre Alto e Baixo Tietê — ou seja, a diferença entre trechos não é</w:t>
        <w:br/>
        <w:t>sutil, é estrutural. O Médio Tietê tem a maior dispersão (caixas mais altas) em quase todos os parâmetros,</w:t>
        <w:br/>
        <w:t>refletindo sua posição de transição e o fato de reunir 20 dos 32 pontos de monitoramento do eixo.</w:t>
      </w:r>
    </w:p>
    <w:p>
      <w:r>
        <w:br w:type="page"/>
      </w:r>
    </w:p>
    <w:p>
      <w:pPr>
        <w:pStyle w:val="Heading1"/>
      </w:pPr>
      <w:r>
        <w:t>06 — Matriz de dispersão (pairplot): solo/sedimento × pluvial × fluvial</w:t>
      </w:r>
    </w:p>
    <w:p>
      <w:r>
        <w:t>Cruzamos os 6 indicadores solo/sedimento com vazão média e chuva anual acumulada, por trecho/ano,</w:t>
        <w:br/>
        <w:t>para checar se a hidrologia por si só explica parte da variação na qualidade da água (diluição por chuva/vazão) ou</w:t>
        <w:br/>
        <w:t>se os dois sistemas são estatisticamente independentes nesta base.</w:t>
      </w:r>
    </w:p>
    <w:p>
      <w:pPr>
        <w:jc w:val="center"/>
      </w:pPr>
      <w:r>
        <w:drawing>
          <wp:inline xmlns:a="http://schemas.openxmlformats.org/drawingml/2006/main" xmlns:pic="http://schemas.openxmlformats.org/drawingml/2006/picture">
            <wp:extent cx="5580000" cy="5745882"/>
            <wp:docPr id="8" name="Picture 8"/>
            <wp:cNvGraphicFramePr>
              <a:graphicFrameLocks noChangeAspect="1"/>
            </wp:cNvGraphicFramePr>
            <a:graphic>
              <a:graphicData uri="http://schemas.openxmlformats.org/drawingml/2006/picture">
                <pic:pic>
                  <pic:nvPicPr>
                    <pic:cNvPr id="0" name="pairplot_solo_sedimento_pluvial_fluvial.png"/>
                    <pic:cNvPicPr/>
                  </pic:nvPicPr>
                  <pic:blipFill>
                    <a:blip r:embed="rId16"/>
                    <a:stretch>
                      <a:fillRect/>
                    </a:stretch>
                  </pic:blipFill>
                  <pic:spPr>
                    <a:xfrm>
                      <a:off x="0" y="0"/>
                      <a:ext cx="5580000" cy="5745882"/>
                    </a:xfrm>
                    <a:prstGeom prst="rect"/>
                  </pic:spPr>
                </pic:pic>
              </a:graphicData>
            </a:graphic>
          </wp:inline>
        </w:drawing>
      </w:r>
    </w:p>
    <w:p>
      <w:pPr>
        <w:jc w:val="center"/>
      </w:pPr>
      <w:r>
        <w:rPr>
          <w:i/>
          <w:color w:val="6B6F68"/>
          <w:sz w:val="18"/>
        </w:rPr>
        <w:t>Pairplot — IQA, DBO, OD, metais, pesticidas,</w:t>
        <w:br/>
        <w:t>matéria orgânica × vazão média × chuva anual, colorido por trecho.</w:t>
      </w:r>
    </w:p>
    <w:p>
      <w:r>
        <w:t>As nuvens de pontos de vazão/chuva contra os indicadores de qualidade não mostram inclinação clara — a</w:t>
        <w:br/>
        <w:t xml:space="preserve">separação visual que domina o gráfico é </w:t>
      </w:r>
      <w:r>
        <w:rPr>
          <w:b/>
        </w:rPr>
        <w:t>por trecho</w:t>
      </w:r>
      <w:r>
        <w:t xml:space="preserve"> (cores bem segregadas), não por regime</w:t>
        <w:br/>
        <w:t>hidrológico. Isto é coerente com a Seção 3: a série solo/sedimento é simulada com uma tendência temporal própria</w:t>
        <w:br/>
        <w:t>independente da vazão/chuva do mesmo ano, então não deveríamos mesmo esperar correlação direta ano-a-ano aqui —</w:t>
        <w:br/>
        <w:t>o pairplot é útil justamente para confirmar essa independência esperada, e não desmenti-la.</w:t>
      </w:r>
    </w:p>
    <w:p>
      <w:r>
        <w:br w:type="page"/>
      </w:r>
    </w:p>
    <w:p>
      <w:pPr>
        <w:pStyle w:val="Heading1"/>
      </w:pPr>
      <w:r>
        <w:t>07 — Heatmap de precipitação mensal por trecho</w:t>
      </w:r>
    </w:p>
    <w:p>
      <w:r>
        <w:t>Precipitação média mensal (mm), todos os postos pluviométricos DAEE por trecho, 1940-2025.</w:t>
      </w:r>
    </w:p>
    <w:p>
      <w:pPr>
        <w:jc w:val="center"/>
      </w:pPr>
      <w:r>
        <w:drawing>
          <wp:inline xmlns:a="http://schemas.openxmlformats.org/drawingml/2006/main" xmlns:pic="http://schemas.openxmlformats.org/drawingml/2006/picture">
            <wp:extent cx="5580000" cy="1942301"/>
            <wp:docPr id="9" name="Picture 9"/>
            <wp:cNvGraphicFramePr>
              <a:graphicFrameLocks noChangeAspect="1"/>
            </wp:cNvGraphicFramePr>
            <a:graphic>
              <a:graphicData uri="http://schemas.openxmlformats.org/drawingml/2006/picture">
                <pic:pic>
                  <pic:nvPicPr>
                    <pic:cNvPr id="0" name="heatmap_precipitacao_trechos.png"/>
                    <pic:cNvPicPr/>
                  </pic:nvPicPr>
                  <pic:blipFill>
                    <a:blip r:embed="rId17"/>
                    <a:stretch>
                      <a:fillRect/>
                    </a:stretch>
                  </pic:blipFill>
                  <pic:spPr>
                    <a:xfrm>
                      <a:off x="0" y="0"/>
                      <a:ext cx="5580000" cy="1942301"/>
                    </a:xfrm>
                    <a:prstGeom prst="rect"/>
                  </pic:spPr>
                </pic:pic>
              </a:graphicData>
            </a:graphic>
          </wp:inline>
        </w:drawing>
      </w:r>
    </w:p>
    <w:p>
      <w:pPr>
        <w:jc w:val="center"/>
      </w:pPr>
      <w:r>
        <w:rPr>
          <w:i/>
          <w:color w:val="6B6F68"/>
          <w:sz w:val="18"/>
        </w:rPr>
        <w:t>Heatmap ano × mês da chuva média (mm) — Alto, Médio e</w:t>
        <w:br/>
        <w:t>Baixo Tietê.</w:t>
      </w:r>
    </w:p>
    <w:p>
      <w:r>
        <w:t>O padrão sazonal (verão chuvoso, outubro-março; inverno seco, junho-agosto) é visualmente idêntico nos três</w:t>
        <w:br/>
        <w:t>trechos — esperado, já que toda a bacia está sob o mesmo regime climático subtropical úmido. As faixas mais claras</w:t>
        <w:br/>
        <w:t>concentradas em certas décadas (ex.: nos extremos da série) refletem tanto anos efetivamente mais secos quanto,</w:t>
        <w:br/>
        <w:t>possivelmente, menor densidade de postos operando naquele período — um lembrete de que "sem dado" e "sem chuva"</w:t>
        <w:br/>
        <w:t>não são a mesma coisa, e reforça a importância da checagem de consistência feita na Seção 13.2 (curva de dupla</w:t>
        <w:br/>
        <w:t>massa).</w:t>
      </w:r>
    </w:p>
    <w:p>
      <w:r>
        <w:br w:type="page"/>
      </w:r>
    </w:p>
    <w:p>
      <w:pPr>
        <w:pStyle w:val="Heading1"/>
      </w:pPr>
      <w:r>
        <w:t>08 — Matriz de correlação de Pearson — parâmetros de solo/sedimentos</w:t>
      </w:r>
    </w:p>
    <w:p>
      <w:r>
        <w:t>Correlação linear (Pearson) entre os 6 indicadores da planilha solo/sedimentos.</w:t>
      </w:r>
    </w:p>
    <w:p>
      <w:pPr>
        <w:jc w:val="center"/>
      </w:pPr>
      <w:r>
        <w:drawing>
          <wp:inline xmlns:a="http://schemas.openxmlformats.org/drawingml/2006/main" xmlns:pic="http://schemas.openxmlformats.org/drawingml/2006/picture">
            <wp:extent cx="5580000" cy="4840482"/>
            <wp:docPr id="10" name="Picture 10"/>
            <wp:cNvGraphicFramePr>
              <a:graphicFrameLocks noChangeAspect="1"/>
            </wp:cNvGraphicFramePr>
            <a:graphic>
              <a:graphicData uri="http://schemas.openxmlformats.org/drawingml/2006/picture">
                <pic:pic>
                  <pic:nvPicPr>
                    <pic:cNvPr id="0" name="pearson_solo_sedimentos.png"/>
                    <pic:cNvPicPr/>
                  </pic:nvPicPr>
                  <pic:blipFill>
                    <a:blip r:embed="rId18"/>
                    <a:stretch>
                      <a:fillRect/>
                    </a:stretch>
                  </pic:blipFill>
                  <pic:spPr>
                    <a:xfrm>
                      <a:off x="0" y="0"/>
                      <a:ext cx="5580000" cy="4840482"/>
                    </a:xfrm>
                    <a:prstGeom prst="rect"/>
                  </pic:spPr>
                </pic:pic>
              </a:graphicData>
            </a:graphic>
          </wp:inline>
        </w:drawing>
      </w:r>
    </w:p>
    <w:p>
      <w:pPr>
        <w:jc w:val="center"/>
      </w:pPr>
      <w:r>
        <w:rPr>
          <w:i/>
          <w:color w:val="6B6F68"/>
          <w:sz w:val="18"/>
        </w:rPr>
        <w:t>Matriz de Pearson — IQA, DBO, OD, metais pesados, pesticidas,</w:t>
        <w:br/>
        <w:t>matéria orgânica.</w:t>
      </w:r>
    </w:p>
    <w:tbl>
      <w:tblPr>
        <w:tblW w:type="auto" w:w="0"/>
        <w:tblLook w:firstColumn="1" w:firstRow="1" w:lastColumn="0" w:lastRow="0" w:noHBand="0" w:noVBand="1" w:val="04A0"/>
      </w:tblPr>
      <w:tblGrid>
        <w:gridCol w:w="8640"/>
      </w:tblGrid>
      <w:tr>
        <w:tc>
          <w:tcPr>
            <w:tcW w:type="dxa" w:w="8640"/>
            <w:shd w:fill="EAF1FB"/>
          </w:tcPr>
          <w:p>
            <w:r/>
            <w:r>
              <w:rPr>
                <w:b/>
                <w:color w:val="2A78D6"/>
                <w:sz w:val="17"/>
              </w:rPr>
              <w:t>RESSALVA METODOLÓGICA</w:t>
            </w:r>
          </w:p>
          <w:p>
            <w:r>
              <w:rPr>
                <w:sz w:val="19"/>
              </w:rPr>
              <w:t xml:space="preserve">As correlações aqui são extremas: IQA×OD = </w:t>
            </w:r>
            <w:r>
              <w:rPr>
                <w:b/>
                <w:sz w:val="19"/>
              </w:rPr>
              <w:t>0,99</w:t>
            </w:r>
            <w:r>
              <w:rPr>
                <w:sz w:val="19"/>
              </w:rPr>
              <w:t xml:space="preserve">, IQA×matéria orgânica = </w:t>
            </w:r>
            <w:r>
              <w:rPr>
                <w:b/>
                <w:sz w:val="19"/>
              </w:rPr>
              <w:t>-0,97</w:t>
            </w:r>
            <w:r>
              <w:rPr>
                <w:sz w:val="19"/>
              </w:rPr>
              <w:t>,</w:t>
              <w:br/>
              <w:t xml:space="preserve">DBO×metais pesados = </w:t>
            </w:r>
            <w:r>
              <w:rPr>
                <w:b/>
                <w:sz w:val="19"/>
              </w:rPr>
              <w:t>0,99</w:t>
            </w:r>
            <w:r>
              <w:rPr>
                <w:sz w:val="19"/>
              </w:rPr>
              <w:t xml:space="preserve">. Isso não é uma descoberta sobre o rio — é uma </w:t>
            </w:r>
            <w:r>
              <w:rPr>
                <w:b/>
                <w:sz w:val="19"/>
              </w:rPr>
              <w:t>propriedade da</w:t>
              <w:br/>
              <w:t>simulação</w:t>
            </w:r>
            <w:r>
              <w:rPr>
                <w:sz w:val="19"/>
              </w:rPr>
              <w:t>: a planilha solo/sedimentos foi gerada a partir de um número pequeno de "âncoras" reais</w:t>
              <w:br/>
              <w:t>(médias históricas CETESB) e uma tendência comum, então todas as variáveis derivam essencialmente do mesmo</w:t>
              <w:br/>
              <w:t>driver latente. Comparar com a Seção 10 (Spearman sobre dado real, evento a evento) é instrutivo: lá as</w:t>
              <w:br/>
              <w:t>correlações mais fortes ficam na faixa 0,6-0,8, o patamar que se espera de fenômenos ambientais medidos com ruído</w:t>
              <w:br/>
              <w:t>instrumental e temporal genuíno. A diferença de magnitude entre as duas matrizes é, em si, uma evidência indireta</w:t>
              <w:br/>
              <w:t xml:space="preserve">da natureza simulada desta fonte — e um lembrete do porquê ela foi rebaixada a </w:t>
            </w:r>
            <w:r>
              <w:rPr>
                <w:i/>
                <w:sz w:val="19"/>
              </w:rPr>
              <w:t>fallback</w:t>
            </w:r>
            <w:r>
              <w:rPr>
                <w:sz w:val="19"/>
              </w:rPr>
              <w:t xml:space="preserve"> no pipeline</w:t>
              <w:br/>
              <w:t>(ver ticket de engenharia de dados desta safra).</w:t>
            </w:r>
          </w:p>
        </w:tc>
      </w:tr>
    </w:tbl>
    <w:p/>
    <w:p>
      <w:r>
        <w:t>Pesticidas é a única variável a escapar do bloco de correlação quase-perfeita (r entre -0,04 e -0,29 com as</w:t>
        <w:br/>
        <w:t>demais) — no gerador da planilha simulada, os agrotóxicos parecem ter sido tratados como um processo</w:t>
        <w:br/>
        <w:t>independente do eixo IQA/OD/DBO/metais/matéria orgânica.</w:t>
      </w:r>
    </w:p>
    <w:p>
      <w:r>
        <w:br w:type="page"/>
      </w:r>
    </w:p>
    <w:p>
      <w:pPr>
        <w:pStyle w:val="Heading1"/>
      </w:pPr>
      <w:r>
        <w:t>09 — Correlação cruzada: fluviometria × pluviometria (com defasagem)</w:t>
      </w:r>
    </w:p>
    <w:p>
      <w:r>
        <w:t>Função de correlação cruzada (CCF) entre chuva mensal média e vazão mensal média, por trecho,</w:t>
        <w:br/>
        <w:t>defasagens de -12 a +12 meses (defasagem positiva = chuva antecede a vazão).</w:t>
      </w:r>
    </w:p>
    <w:p>
      <w:pPr>
        <w:jc w:val="center"/>
      </w:pPr>
      <w:r>
        <w:drawing>
          <wp:inline xmlns:a="http://schemas.openxmlformats.org/drawingml/2006/main" xmlns:pic="http://schemas.openxmlformats.org/drawingml/2006/picture">
            <wp:extent cx="5580000" cy="1561860"/>
            <wp:docPr id="11" name="Picture 11"/>
            <wp:cNvGraphicFramePr>
              <a:graphicFrameLocks noChangeAspect="1"/>
            </wp:cNvGraphicFramePr>
            <a:graphic>
              <a:graphicData uri="http://schemas.openxmlformats.org/drawingml/2006/picture">
                <pic:pic>
                  <pic:nvPicPr>
                    <pic:cNvPr id="0" name="ccf_chuva_vazao.png"/>
                    <pic:cNvPicPr/>
                  </pic:nvPicPr>
                  <pic:blipFill>
                    <a:blip r:embed="rId19"/>
                    <a:stretch>
                      <a:fillRect/>
                    </a:stretch>
                  </pic:blipFill>
                  <pic:spPr>
                    <a:xfrm>
                      <a:off x="0" y="0"/>
                      <a:ext cx="5580000" cy="1561860"/>
                    </a:xfrm>
                    <a:prstGeom prst="rect"/>
                  </pic:spPr>
                </pic:pic>
              </a:graphicData>
            </a:graphic>
          </wp:inline>
        </w:drawing>
      </w:r>
    </w:p>
    <w:p>
      <w:pPr>
        <w:jc w:val="center"/>
      </w:pPr>
      <w:r>
        <w:rPr>
          <w:i/>
          <w:color w:val="6B6F68"/>
          <w:sz w:val="18"/>
        </w:rPr>
        <w:t>Correlação cruzada chuva → vazão, por trecho.</w:t>
      </w:r>
    </w:p>
    <w:tbl>
      <w:tblPr>
        <w:tblW w:type="auto" w:w="0"/>
        <w:tblLook w:firstColumn="1" w:firstRow="1" w:lastColumn="0" w:lastRow="0" w:noHBand="0" w:noVBand="1" w:val="04A0"/>
      </w:tblPr>
      <w:tblGrid>
        <w:gridCol w:w="2880"/>
        <w:gridCol w:w="2880"/>
        <w:gridCol w:w="2880"/>
      </w:tblGrid>
      <w:tr>
        <w:tc>
          <w:tcPr>
            <w:tcW w:type="dxa" w:w="2880"/>
            <w:shd w:fill="F2F1EE"/>
          </w:tcPr>
          <w:p>
            <w:r/>
            <w:r>
              <w:rPr>
                <w:b/>
                <w:color w:val="6B6F68"/>
                <w:sz w:val="15"/>
              </w:rPr>
              <w:t>Alto Tietê — pico</w:t>
            </w:r>
          </w:p>
          <w:p>
            <w:r>
              <w:rPr>
                <w:b/>
                <w:sz w:val="30"/>
              </w:rPr>
              <w:t>lag 0 · r=0,29</w:t>
            </w:r>
          </w:p>
          <w:p>
            <w:r>
              <w:rPr>
                <w:color w:val="6B6F68"/>
                <w:sz w:val="15"/>
              </w:rPr>
              <w:t>resposta rápida, mas fraca</w:t>
            </w:r>
          </w:p>
        </w:tc>
        <w:tc>
          <w:tcPr>
            <w:tcW w:type="dxa" w:w="2880"/>
            <w:shd w:fill="F2F1EE"/>
          </w:tcPr>
          <w:p>
            <w:r/>
            <w:r>
              <w:rPr>
                <w:b/>
                <w:color w:val="6B6F68"/>
                <w:sz w:val="15"/>
              </w:rPr>
              <w:t>Médio Tietê — pico</w:t>
            </w:r>
          </w:p>
          <w:p>
            <w:r>
              <w:rPr>
                <w:b/>
                <w:sz w:val="30"/>
              </w:rPr>
              <w:t>lag 0 · r=0,75</w:t>
            </w:r>
          </w:p>
          <w:p>
            <w:r>
              <w:rPr>
                <w:color w:val="6B6F68"/>
                <w:sz w:val="15"/>
              </w:rPr>
              <w:t>resposta rápida e forte</w:t>
            </w:r>
          </w:p>
        </w:tc>
        <w:tc>
          <w:tcPr>
            <w:tcW w:type="dxa" w:w="2880"/>
            <w:shd w:fill="F2F1EE"/>
          </w:tcPr>
          <w:p>
            <w:r/>
            <w:r>
              <w:rPr>
                <w:b/>
                <w:color w:val="6B6F68"/>
                <w:sz w:val="15"/>
              </w:rPr>
              <w:t>Baixo Tietê — pico</w:t>
            </w:r>
          </w:p>
          <w:p>
            <w:r>
              <w:rPr>
                <w:b/>
                <w:sz w:val="30"/>
              </w:rPr>
              <w:t>lag -1 · r=0,20</w:t>
            </w:r>
          </w:p>
          <w:p>
            <w:r>
              <w:rPr>
                <w:color w:val="6B6F68"/>
                <w:sz w:val="15"/>
              </w:rPr>
              <w:t>acoplamento fraco/atípico</w:t>
            </w:r>
          </w:p>
        </w:tc>
      </w:tr>
    </w:tbl>
    <w:p/>
    <w:p>
      <w:r>
        <w:t>O Médio Tietê tem o acoplamento chuva-vazão mais forte e imediato (r=0,75 no mesmo mês) — bacia com resposta</w:t>
        <w:br/>
        <w:t>hidrológica mais "natural", sem grande efeito de regularização. O Alto Tietê já mostra acoplamento mais fraco</w:t>
        <w:br/>
        <w:t>(r=0,29), coerente com uma bacia fortemente urbanizada e regularizada por reservatórios (Billings, Guarapiranga).</w:t>
        <w:br/>
        <w:t>O Baixo Tietê tem o acoplamento mais fraco e um lag levemente negativo (fisicamente pouco interpretável de forma</w:t>
        <w:br/>
        <w:t>causal) — mais provável explicação: a cascata de reservatórios do Médio/Baixo Tietê (Barra Bonita, Promissão,</w:t>
        <w:br/>
        <w:t>Nova Avanhandava etc.) desacopla a vazão observada da chuva local, já que a vazão passa a refletir decisões de</w:t>
        <w:br/>
        <w:t>operação das barragens a montante, não a chuva que cai diretamente sobre o trecho.</w:t>
      </w:r>
    </w:p>
    <w:p>
      <w:r>
        <w:br w:type="page"/>
      </w:r>
    </w:p>
    <w:p>
      <w:pPr>
        <w:pStyle w:val="Heading1"/>
      </w:pPr>
      <w:r>
        <w:t>10 — Matriz de correlação de Spearman — 13 parâmetros CETESB</w:t>
      </w:r>
    </w:p>
    <w:p>
      <w:r>
        <w:t>Correlação de Spearman (relações monótonas, robusta a outliers e não-normalidade — mais apropriada</w:t>
        <w:br/>
        <w:t>que Pearson para dado ambiental real) entre os 13 parâmetros CETESB, calculada evento a evento (mesma</w:t>
        <w:br/>
        <w:t>visita de campo, n=4.258 eventos, eixo do Tietê).</w:t>
      </w:r>
    </w:p>
    <w:p>
      <w:pPr>
        <w:jc w:val="center"/>
      </w:pPr>
      <w:r>
        <w:drawing>
          <wp:inline xmlns:a="http://schemas.openxmlformats.org/drawingml/2006/main" xmlns:pic="http://schemas.openxmlformats.org/drawingml/2006/picture">
            <wp:extent cx="5580000" cy="4667078"/>
            <wp:docPr id="12" name="Picture 12"/>
            <wp:cNvGraphicFramePr>
              <a:graphicFrameLocks noChangeAspect="1"/>
            </wp:cNvGraphicFramePr>
            <a:graphic>
              <a:graphicData uri="http://schemas.openxmlformats.org/drawingml/2006/picture">
                <pic:pic>
                  <pic:nvPicPr>
                    <pic:cNvPr id="0" name="spearman_13_cetesb.png"/>
                    <pic:cNvPicPr/>
                  </pic:nvPicPr>
                  <pic:blipFill>
                    <a:blip r:embed="rId20"/>
                    <a:stretch>
                      <a:fillRect/>
                    </a:stretch>
                  </pic:blipFill>
                  <pic:spPr>
                    <a:xfrm>
                      <a:off x="0" y="0"/>
                      <a:ext cx="5580000" cy="4667078"/>
                    </a:xfrm>
                    <a:prstGeom prst="rect"/>
                  </pic:spPr>
                </pic:pic>
              </a:graphicData>
            </a:graphic>
          </wp:inline>
        </w:drawing>
      </w:r>
    </w:p>
    <w:p>
      <w:pPr>
        <w:jc w:val="center"/>
      </w:pPr>
      <w:r>
        <w:rPr>
          <w:i/>
          <w:color w:val="6B6F68"/>
          <w:sz w:val="18"/>
        </w:rPr>
        <w:t>Matriz de Spearman — 13 parâmetros CETESB.</w:t>
      </w:r>
    </w:p>
    <w:p>
      <w:pPr>
        <w:pStyle w:val="Heading3"/>
      </w:pPr>
      <w:r>
        <w:t>10.1 — Quais elementos estão prejudicando o rio?</w:t>
      </w:r>
    </w:p>
    <w:p>
      <w:r>
        <w:t>Ordenamos os 12 parâmetros restantes por correlação com Oxigênio Dissolvido (o indicador mais diretamente</w:t>
        <w:br/>
        <w:t>ligado à vida aquática) e com DBO (o indicador mais direto de carga orgânica):</w:t>
      </w:r>
    </w:p>
    <w:p>
      <w:pPr>
        <w:jc w:val="center"/>
      </w:pPr>
      <w:r>
        <w:drawing>
          <wp:inline xmlns:a="http://schemas.openxmlformats.org/drawingml/2006/main" xmlns:pic="http://schemas.openxmlformats.org/drawingml/2006/picture">
            <wp:extent cx="5580000" cy="2055222"/>
            <wp:docPr id="13" name="Picture 13"/>
            <wp:cNvGraphicFramePr>
              <a:graphicFrameLocks noChangeAspect="1"/>
            </wp:cNvGraphicFramePr>
            <a:graphic>
              <a:graphicData uri="http://schemas.openxmlformats.org/drawingml/2006/picture">
                <pic:pic>
                  <pic:nvPicPr>
                    <pic:cNvPr id="0" name="elementos_problematicos_od_dbo.png"/>
                    <pic:cNvPicPr/>
                  </pic:nvPicPr>
                  <pic:blipFill>
                    <a:blip r:embed="rId21"/>
                    <a:stretch>
                      <a:fillRect/>
                    </a:stretch>
                  </pic:blipFill>
                  <pic:spPr>
                    <a:xfrm>
                      <a:off x="0" y="0"/>
                      <a:ext cx="5580000" cy="2055222"/>
                    </a:xfrm>
                    <a:prstGeom prst="rect"/>
                  </pic:spPr>
                </pic:pic>
              </a:graphicData>
            </a:graphic>
          </wp:inline>
        </w:drawing>
      </w:r>
    </w:p>
    <w:p>
      <w:pPr>
        <w:jc w:val="center"/>
      </w:pPr>
      <w:r>
        <w:rPr>
          <w:i/>
          <w:color w:val="6B6F68"/>
          <w:sz w:val="18"/>
        </w:rPr>
        <w:t>Correlação de cada parâmetro com OD (esquerda) e DBO</w:t>
        <w:br/>
        <w:t>(direita).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7"/>
              </w:rPr>
              <w:t>Parâmetro</w:t>
            </w:r>
          </w:p>
        </w:tc>
        <w:tc>
          <w:tcPr>
            <w:tcW w:type="dxa" w:w="2160"/>
          </w:tcPr>
          <w:p>
            <w:r/>
            <w:r>
              <w:rPr>
                <w:b/>
                <w:sz w:val="17"/>
              </w:rPr>
              <w:t>ρ com OD</w:t>
            </w:r>
          </w:p>
        </w:tc>
        <w:tc>
          <w:tcPr>
            <w:tcW w:type="dxa" w:w="2160"/>
          </w:tcPr>
          <w:p>
            <w:r/>
            <w:r>
              <w:rPr>
                <w:b/>
                <w:sz w:val="17"/>
              </w:rPr>
              <w:t>ρ com DBO</w:t>
            </w:r>
          </w:p>
        </w:tc>
        <w:tc>
          <w:tcPr>
            <w:tcW w:type="dxa" w:w="2160"/>
          </w:tcPr>
          <w:p>
            <w:r/>
            <w:r>
              <w:rPr>
                <w:b/>
                <w:sz w:val="17"/>
              </w:rPr>
              <w:t>Leitura</w:t>
            </w:r>
          </w:p>
        </w:tc>
      </w:tr>
      <w:tr>
        <w:tc>
          <w:tcPr>
            <w:tcW w:type="dxa" w:w="2160"/>
          </w:tcPr>
          <w:p>
            <w:r/>
            <w:r>
              <w:rPr>
                <w:sz w:val="18"/>
              </w:rPr>
              <w:t>Fósforo Total</w:t>
            </w:r>
          </w:p>
        </w:tc>
        <w:tc>
          <w:tcPr>
            <w:tcW w:type="dxa" w:w="2160"/>
          </w:tcPr>
          <w:p>
            <w:r/>
            <w:r>
              <w:rPr>
                <w:color w:val="D03B3B"/>
                <w:sz w:val="18"/>
              </w:rPr>
              <w:t>-0,61</w:t>
            </w:r>
          </w:p>
        </w:tc>
        <w:tc>
          <w:tcPr>
            <w:tcW w:type="dxa" w:w="2160"/>
          </w:tcPr>
          <w:p>
            <w:r/>
            <w:r>
              <w:rPr>
                <w:color w:val="D03B3B"/>
                <w:sz w:val="18"/>
              </w:rPr>
              <w:t>0,82</w:t>
            </w:r>
          </w:p>
        </w:tc>
        <w:tc>
          <w:tcPr>
            <w:tcW w:type="dxa" w:w="2160"/>
          </w:tcPr>
          <w:p>
            <w:r/>
            <w:r>
              <w:rPr>
                <w:sz w:val="18"/>
              </w:rPr>
              <w:t>maior associação — assinatura clássica de esgoto/eutrofização</w:t>
            </w:r>
          </w:p>
        </w:tc>
      </w:tr>
      <w:tr>
        <w:tc>
          <w:tcPr>
            <w:tcW w:type="dxa" w:w="2160"/>
          </w:tcPr>
          <w:p>
            <w:r/>
            <w:r>
              <w:rPr>
                <w:sz w:val="18"/>
              </w:rPr>
              <w:t>Nitrogênio Amoniacal</w:t>
            </w:r>
          </w:p>
        </w:tc>
        <w:tc>
          <w:tcPr>
            <w:tcW w:type="dxa" w:w="2160"/>
          </w:tcPr>
          <w:p>
            <w:r/>
            <w:r>
              <w:rPr>
                <w:color w:val="D03B3B"/>
                <w:sz w:val="18"/>
              </w:rPr>
              <w:t>-0,59</w:t>
            </w:r>
          </w:p>
        </w:tc>
        <w:tc>
          <w:tcPr>
            <w:tcW w:type="dxa" w:w="2160"/>
          </w:tcPr>
          <w:p>
            <w:r/>
            <w:r>
              <w:rPr>
                <w:color w:val="D03B3B"/>
                <w:sz w:val="18"/>
              </w:rPr>
              <w:t>0,80</w:t>
            </w:r>
          </w:p>
        </w:tc>
        <w:tc>
          <w:tcPr>
            <w:tcW w:type="dxa" w:w="2160"/>
          </w:tcPr>
          <w:p>
            <w:r/>
            <w:r>
              <w:rPr>
                <w:sz w:val="18"/>
              </w:rPr>
              <w:t>mesma origem provável (esgoto doméstico não tratado)</w:t>
            </w:r>
          </w:p>
        </w:tc>
      </w:tr>
      <w:tr>
        <w:tc>
          <w:tcPr>
            <w:tcW w:type="dxa" w:w="2160"/>
          </w:tcPr>
          <w:p>
            <w:r/>
            <w:r>
              <w:rPr>
                <w:sz w:val="18"/>
              </w:rPr>
              <w:t>Sólido Total</w:t>
            </w:r>
          </w:p>
        </w:tc>
        <w:tc>
          <w:tcPr>
            <w:tcW w:type="dxa" w:w="2160"/>
          </w:tcPr>
          <w:p>
            <w:r/>
            <w:r>
              <w:rPr>
                <w:color w:val="D03B3B"/>
                <w:sz w:val="18"/>
              </w:rPr>
              <w:t>-0,56</w:t>
            </w:r>
          </w:p>
        </w:tc>
        <w:tc>
          <w:tcPr>
            <w:tcW w:type="dxa" w:w="2160"/>
          </w:tcPr>
          <w:p>
            <w:r/>
            <w:r>
              <w:rPr>
                <w:color w:val="D03B3B"/>
                <w:sz w:val="18"/>
              </w:rPr>
              <w:t>0,81</w:t>
            </w:r>
          </w:p>
        </w:tc>
        <w:tc>
          <w:tcPr>
            <w:tcW w:type="dxa" w:w="2160"/>
          </w:tcPr>
          <w:p>
            <w:r/>
            <w:r>
              <w:rPr>
                <w:sz w:val="18"/>
              </w:rPr>
              <w:t>carga de sedimentos/despejos acompanhando a carga orgânica</w:t>
            </w:r>
          </w:p>
        </w:tc>
      </w:tr>
      <w:tr>
        <w:tc>
          <w:tcPr>
            <w:tcW w:type="dxa" w:w="2160"/>
          </w:tcPr>
          <w:p>
            <w:r/>
            <w:r>
              <w:rPr>
                <w:sz w:val="18"/>
              </w:rPr>
              <w:t>Condutividade</w:t>
            </w:r>
          </w:p>
        </w:tc>
        <w:tc>
          <w:tcPr>
            <w:tcW w:type="dxa" w:w="2160"/>
          </w:tcPr>
          <w:p>
            <w:r/>
            <w:r>
              <w:rPr>
                <w:color w:val="D03B3B"/>
                <w:sz w:val="18"/>
              </w:rPr>
              <w:t>-0,55</w:t>
            </w:r>
          </w:p>
        </w:tc>
        <w:tc>
          <w:tcPr>
            <w:tcW w:type="dxa" w:w="2160"/>
          </w:tcPr>
          <w:p>
            <w:r/>
            <w:r>
              <w:rPr>
                <w:color w:val="D03B3B"/>
                <w:sz w:val="18"/>
              </w:rPr>
              <w:t>0,78</w:t>
            </w:r>
          </w:p>
        </w:tc>
        <w:tc>
          <w:tcPr>
            <w:tcW w:type="dxa" w:w="2160"/>
          </w:tcPr>
          <w:p>
            <w:r/>
            <w:r>
              <w:rPr>
                <w:sz w:val="18"/>
              </w:rPr>
              <w:t>proxy de sólidos dissolvidos/íons de origem antrópica</w:t>
            </w:r>
          </w:p>
        </w:tc>
      </w:tr>
      <w:tr>
        <w:tc>
          <w:tcPr>
            <w:tcW w:type="dxa" w:w="2160"/>
          </w:tcPr>
          <w:p>
            <w:r/>
            <w:r>
              <w:rPr>
                <w:sz w:val="18"/>
              </w:rPr>
              <w:t>Zinco Total</w:t>
            </w:r>
          </w:p>
        </w:tc>
        <w:tc>
          <w:tcPr>
            <w:tcW w:type="dxa" w:w="2160"/>
          </w:tcPr>
          <w:p>
            <w:r/>
            <w:r>
              <w:rPr>
                <w:color w:val="D03B3B"/>
                <w:sz w:val="18"/>
              </w:rPr>
              <w:t>-0,53</w:t>
            </w:r>
          </w:p>
        </w:tc>
        <w:tc>
          <w:tcPr>
            <w:tcW w:type="dxa" w:w="2160"/>
          </w:tcPr>
          <w:p>
            <w:r/>
            <w:r>
              <w:rPr>
                <w:color w:val="D03B3B"/>
                <w:sz w:val="18"/>
              </w:rPr>
              <w:t>0,69</w:t>
            </w:r>
          </w:p>
        </w:tc>
        <w:tc>
          <w:tcPr>
            <w:tcW w:type="dxa" w:w="2160"/>
          </w:tcPr>
          <w:p>
            <w:r/>
            <w:r>
              <w:rPr>
                <w:sz w:val="18"/>
              </w:rPr>
              <w:t>único metal do painel-13 fortemente acoplado à poluição orgânica</w:t>
            </w:r>
          </w:p>
        </w:tc>
      </w:tr>
      <w:tr>
        <w:tc>
          <w:tcPr>
            <w:tcW w:type="dxa" w:w="2160"/>
          </w:tcPr>
          <w:p>
            <w:r/>
            <w:r>
              <w:rPr>
                <w:sz w:val="18"/>
              </w:rPr>
              <w:t>Coliformes Termotolerantes</w:t>
            </w:r>
          </w:p>
        </w:tc>
        <w:tc>
          <w:tcPr>
            <w:tcW w:type="dxa" w:w="2160"/>
          </w:tcPr>
          <w:p>
            <w:r/>
            <w:r>
              <w:rPr>
                <w:color w:val="D03B3B"/>
                <w:sz w:val="18"/>
              </w:rPr>
              <w:t>-0,53</w:t>
            </w:r>
          </w:p>
        </w:tc>
        <w:tc>
          <w:tcPr>
            <w:tcW w:type="dxa" w:w="2160"/>
          </w:tcPr>
          <w:p>
            <w:r/>
            <w:r>
              <w:rPr>
                <w:color w:val="D03B3B"/>
                <w:sz w:val="18"/>
              </w:rPr>
              <w:t>0,73</w:t>
            </w:r>
          </w:p>
        </w:tc>
        <w:tc>
          <w:tcPr>
            <w:tcW w:type="dxa" w:w="2160"/>
          </w:tcPr>
          <w:p>
            <w:r/>
            <w:r>
              <w:rPr>
                <w:sz w:val="18"/>
              </w:rPr>
              <w:t>confirma origem fecal/esgoto</w:t>
            </w:r>
          </w:p>
        </w:tc>
      </w:tr>
      <w:tr>
        <w:tc>
          <w:tcPr>
            <w:tcW w:type="dxa" w:w="2160"/>
          </w:tcPr>
          <w:p>
            <w:r/>
            <w:r>
              <w:rPr>
                <w:sz w:val="18"/>
              </w:rPr>
              <w:t>Turbidez</w:t>
            </w:r>
          </w:p>
        </w:tc>
        <w:tc>
          <w:tcPr>
            <w:tcW w:type="dxa" w:w="2160"/>
          </w:tcPr>
          <w:p>
            <w:r/>
            <w:r>
              <w:rPr>
                <w:color w:val="D03B3B"/>
                <w:sz w:val="18"/>
              </w:rPr>
              <w:t>-0,41</w:t>
            </w:r>
          </w:p>
        </w:tc>
        <w:tc>
          <w:tcPr>
            <w:tcW w:type="dxa" w:w="2160"/>
          </w:tcPr>
          <w:p>
            <w:r/>
            <w:r>
              <w:rPr>
                <w:sz w:val="18"/>
              </w:rPr>
              <w:t>0,56</w:t>
            </w:r>
          </w:p>
        </w:tc>
        <w:tc>
          <w:tcPr>
            <w:tcW w:type="dxa" w:w="2160"/>
          </w:tcPr>
          <w:p>
            <w:r/>
            <w:r>
              <w:rPr>
                <w:sz w:val="18"/>
              </w:rPr>
              <w:t>associação moderada</w:t>
            </w:r>
          </w:p>
        </w:tc>
      </w:tr>
      <w:tr>
        <w:tc>
          <w:tcPr>
            <w:tcW w:type="dxa" w:w="2160"/>
          </w:tcPr>
          <w:p>
            <w:r/>
            <w:r>
              <w:rPr>
                <w:sz w:val="18"/>
              </w:rPr>
              <w:t>Mercúrio Total</w:t>
            </w:r>
          </w:p>
        </w:tc>
        <w:tc>
          <w:tcPr>
            <w:tcW w:type="dxa" w:w="2160"/>
          </w:tcPr>
          <w:p>
            <w:r/>
            <w:r>
              <w:rPr>
                <w:sz w:val="18"/>
              </w:rPr>
              <w:t>-0,10</w:t>
            </w:r>
          </w:p>
        </w:tc>
        <w:tc>
          <w:tcPr>
            <w:tcW w:type="dxa" w:w="2160"/>
          </w:tcPr>
          <w:p>
            <w:r/>
            <w:r>
              <w:rPr>
                <w:sz w:val="18"/>
              </w:rPr>
              <w:t>0,13</w:t>
            </w:r>
          </w:p>
        </w:tc>
        <w:tc>
          <w:tcPr>
            <w:tcW w:type="dxa" w:w="2160"/>
          </w:tcPr>
          <w:p>
            <w:r/>
            <w:r>
              <w:rPr>
                <w:sz w:val="18"/>
              </w:rPr>
              <w:t>quase independente — sugere fonte distinta (industrial pontual, não difusa)</w:t>
            </w:r>
          </w:p>
        </w:tc>
      </w:tr>
    </w:tbl>
    <w:tbl>
      <w:tblPr>
        <w:tblW w:type="auto" w:w="0"/>
        <w:tblLook w:firstColumn="1" w:firstRow="1" w:lastColumn="0" w:lastRow="0" w:noHBand="0" w:noVBand="1" w:val="04A0"/>
      </w:tblPr>
      <w:tblGrid>
        <w:gridCol w:w="8640"/>
      </w:tblGrid>
      <w:tr>
        <w:tc>
          <w:tcPr>
            <w:tcW w:type="dxa" w:w="8640"/>
            <w:shd w:fill="FBEAEA"/>
          </w:tcPr>
          <w:p>
            <w:r/>
            <w:r>
              <w:rPr>
                <w:b/>
                <w:color w:val="D03B3B"/>
                <w:sz w:val="17"/>
              </w:rPr>
              <w:t>ELEMENTOS QUE PRECISAM DE CONTROLE PRIORITÁRIO</w:t>
            </w:r>
          </w:p>
          <w:p>
            <w:r>
              <w:rPr>
                <w:b/>
                <w:sz w:val="19"/>
              </w:rPr>
              <w:t>Fósforo Total, Nitrogênio Amoniacal, Sólido Total, Condutividade, Coliformes Termotolerantes e Zinco</w:t>
              <w:br/>
              <w:t>Total</w:t>
            </w:r>
            <w:r>
              <w:rPr>
                <w:sz w:val="19"/>
              </w:rPr>
              <w:t xml:space="preserve"> formam um bloco fortemente co-correlacionado (ρ 0,53-0,82) com a queda de OD e a alta de DBO — a</w:t>
              <w:br/>
              <w:t xml:space="preserve">assinatura estatística de </w:t>
            </w:r>
            <w:r>
              <w:rPr>
                <w:b/>
                <w:sz w:val="19"/>
              </w:rPr>
              <w:t>esgoto doméstico não tratado ou subtratado</w:t>
            </w:r>
            <w:r>
              <w:rPr>
                <w:sz w:val="19"/>
              </w:rPr>
              <w:t xml:space="preserve"> como o principal estressor</w:t>
              <w:br/>
              <w:t>observável do rio nesta base de dados, não a contaminação industrial por metais pesados isoladamente. Mercúrio, em</w:t>
              <w:br/>
              <w:t>contraste, se comporta como uma variável quase independente do eixo OD/DBO — indicando uma fonte de pressão</w:t>
              <w:br/>
              <w:t>distinta (mais compatível com lançamento industrial pontual do que com esgoto difuso), o que justifica que</w:t>
              <w:br/>
              <w:t>fiscalização de efluentes domésticos e de metais sejam tratadas como duas políticas públicas separadas, não uma</w:t>
              <w:br/>
              <w:t>única frente de "poluição".</w:t>
            </w:r>
          </w:p>
        </w:tc>
      </w:tr>
    </w:tbl>
    <w:p/>
    <w:p>
      <w:r>
        <w:br w:type="page"/>
      </w:r>
    </w:p>
    <w:p>
      <w:pPr>
        <w:pStyle w:val="Heading1"/>
      </w:pPr>
      <w:r>
        <w:t>11 — Teste de Mann-Kendall — tendências por parâmetro e sub-bacia</w:t>
      </w:r>
    </w:p>
    <w:p>
      <w:r>
        <w:t>Teste não-paramétrico de Mann-Kendall (τ de Kendall, robusto a valores ausentes e distribuições</w:t>
        <w:br/>
        <w:t>não-normais) aplicado à série anual (média por trecho) de cada um dos 17 parâmetros reais CETESB, para os três</w:t>
        <w:br/>
        <w:t xml:space="preserve">trechos — 51 testes. </w:t>
      </w:r>
      <w:r>
        <w:rPr>
          <w:b/>
        </w:rPr>
        <w:t>49 de 69</w:t>
      </w:r>
      <w:r>
        <w:t xml:space="preserve"> testes totais</w:t>
        <w:br/>
        <w:t>(incluindo os indicadores agregados e hidrologia) deram tendência estatisticamente significativa (p&lt;0,05).</w:t>
      </w:r>
    </w:p>
    <w:p>
      <w:pPr>
        <w:jc w:val="center"/>
      </w:pPr>
      <w:r>
        <w:drawing>
          <wp:inline xmlns:a="http://schemas.openxmlformats.org/drawingml/2006/main" xmlns:pic="http://schemas.openxmlformats.org/drawingml/2006/picture">
            <wp:extent cx="5580000" cy="6370026"/>
            <wp:docPr id="14" name="Picture 14"/>
            <wp:cNvGraphicFramePr>
              <a:graphicFrameLocks noChangeAspect="1"/>
            </wp:cNvGraphicFramePr>
            <a:graphic>
              <a:graphicData uri="http://schemas.openxmlformats.org/drawingml/2006/picture">
                <pic:pic>
                  <pic:nvPicPr>
                    <pic:cNvPr id="0" name="mk_heatmap_tau.png"/>
                    <pic:cNvPicPr/>
                  </pic:nvPicPr>
                  <pic:blipFill>
                    <a:blip r:embed="rId22"/>
                    <a:stretch>
                      <a:fillRect/>
                    </a:stretch>
                  </pic:blipFill>
                  <pic:spPr>
                    <a:xfrm>
                      <a:off x="0" y="0"/>
                      <a:ext cx="5580000" cy="6370026"/>
                    </a:xfrm>
                    <a:prstGeom prst="rect"/>
                  </pic:spPr>
                </pic:pic>
              </a:graphicData>
            </a:graphic>
          </wp:inline>
        </w:drawing>
      </w:r>
    </w:p>
    <w:p>
      <w:pPr>
        <w:jc w:val="center"/>
      </w:pPr>
      <w:r>
        <w:rPr>
          <w:i/>
          <w:color w:val="6B6F68"/>
          <w:sz w:val="18"/>
        </w:rPr>
        <w:t>τ de Kendall por parâmetro × trecho (CETESB real, 1978-2024). Vermelho</w:t>
        <w:br/>
        <w:t>= tendência de alta; azul = tendência de queda.</w:t>
      </w:r>
    </w:p>
    <w:tbl>
      <w:tblPr>
        <w:tblW w:type="auto" w:w="0"/>
        <w:tblLook w:firstColumn="1" w:firstRow="1" w:lastColumn="0" w:lastRow="0" w:noHBand="0" w:noVBand="1" w:val="04A0"/>
      </w:tblPr>
      <w:tblGrid>
        <w:gridCol w:w="2880"/>
        <w:gridCol w:w="2880"/>
        <w:gridCol w:w="2880"/>
      </w:tblGrid>
      <w:tr>
        <w:tc>
          <w:tcPr>
            <w:tcW w:type="dxa" w:w="2880"/>
            <w:shd w:fill="F2F1EE"/>
          </w:tcPr>
          <w:p>
            <w:r/>
            <w:r>
              <w:rPr>
                <w:b/>
                <w:color w:val="6B6F68"/>
                <w:sz w:val="15"/>
              </w:rPr>
              <w:t>Alto Tietê</w:t>
            </w:r>
          </w:p>
          <w:p>
            <w:r>
              <w:rPr>
                <w:b/>
                <w:sz w:val="30"/>
              </w:rPr>
              <w:t>8</w:t>
            </w:r>
          </w:p>
          <w:p>
            <w:r>
              <w:rPr>
                <w:color w:val="6B6F68"/>
                <w:sz w:val="15"/>
              </w:rPr>
              <w:t>parâmetros com piora significativa</w:t>
            </w:r>
          </w:p>
        </w:tc>
        <w:tc>
          <w:tcPr>
            <w:tcW w:type="dxa" w:w="2880"/>
            <w:shd w:fill="F2F1EE"/>
          </w:tcPr>
          <w:p>
            <w:r/>
            <w:r>
              <w:rPr>
                <w:b/>
                <w:color w:val="6B6F68"/>
                <w:sz w:val="15"/>
              </w:rPr>
              <w:t>Médio Tietê</w:t>
            </w:r>
          </w:p>
          <w:p>
            <w:r>
              <w:rPr>
                <w:b/>
                <w:sz w:val="30"/>
              </w:rPr>
              <w:t>10</w:t>
            </w:r>
          </w:p>
          <w:p>
            <w:r>
              <w:rPr>
                <w:color w:val="6B6F68"/>
                <w:sz w:val="15"/>
              </w:rPr>
              <w:t>parâmetros com piora significativa</w:t>
            </w:r>
          </w:p>
        </w:tc>
        <w:tc>
          <w:tcPr>
            <w:tcW w:type="dxa" w:w="2880"/>
            <w:shd w:fill="F2F1EE"/>
          </w:tcPr>
          <w:p>
            <w:r/>
            <w:r>
              <w:rPr>
                <w:b/>
                <w:color w:val="6B6F68"/>
                <w:sz w:val="15"/>
              </w:rPr>
              <w:t>Baixo Tietê</w:t>
            </w:r>
          </w:p>
          <w:p>
            <w:r>
              <w:rPr>
                <w:b/>
                <w:sz w:val="30"/>
              </w:rPr>
              <w:t>5</w:t>
            </w:r>
          </w:p>
          <w:p>
            <w:r>
              <w:rPr>
                <w:color w:val="6B6F68"/>
                <w:sz w:val="15"/>
              </w:rPr>
              <w:t>parâmetros com piora significativa</w:t>
            </w:r>
          </w:p>
        </w:tc>
      </w:tr>
    </w:tbl>
    <w:p/>
    <w:tbl>
      <w:tblPr>
        <w:tblW w:type="auto" w:w="0"/>
        <w:tblLook w:firstColumn="1" w:firstRow="1" w:lastColumn="0" w:lastRow="0" w:noHBand="0" w:noVBand="1" w:val="04A0"/>
      </w:tblPr>
      <w:tblGrid>
        <w:gridCol w:w="8640"/>
      </w:tblGrid>
      <w:tr>
        <w:tc>
          <w:tcPr>
            <w:tcW w:type="dxa" w:w="8640"/>
            <w:shd w:fill="FBEAEA"/>
          </w:tcPr>
          <w:p>
            <w:r/>
            <w:r>
              <w:rPr>
                <w:b/>
                <w:color w:val="D03B3B"/>
                <w:sz w:val="17"/>
              </w:rPr>
              <w:t>ACHADO CENTRAL DO RELATÓRIO</w:t>
            </w:r>
          </w:p>
          <w:p>
            <w:r>
              <w:rPr>
                <w:sz w:val="19"/>
              </w:rPr>
              <w:t xml:space="preserve">O </w:t>
            </w:r>
            <w:r>
              <w:rPr>
                <w:b/>
                <w:sz w:val="19"/>
              </w:rPr>
              <w:t>Oxigênio Dissolvido cai de forma estatisticamente significativa nos três trechos</w:t>
            </w:r>
            <w:r>
              <w:rPr>
                <w:sz w:val="19"/>
              </w:rPr>
              <w:t xml:space="preserve"> (Alto</w:t>
              <w:br/>
              <w:t>τ=-0,62 · Médio τ=-0,44 · Baixo τ=-0,69, todos p&lt;0,001) — é o único parâmetro com tendência significativa e</w:t>
              <w:br/>
              <w:t>consistente na mesma direção em toda a extensão monitorada do rio. Ao mesmo tempo, Sólido Total e Condutividade</w:t>
              <w:br/>
              <w:t>sobem significativamente nos três trechos, e Fósforo Total e Nitrogênio Amoniacal sobem significativamente no</w:t>
              <w:br/>
              <w:t>Alto e Médio Tietê. A convergência dessas tendências (mais carga → menos oxigênio) ao longo de 46 anos de</w:t>
              <w:br/>
              <w:t xml:space="preserve">monitoramento real é a evidência mais forte deste relatório de uma </w:t>
            </w:r>
            <w:r>
              <w:rPr>
                <w:b/>
                <w:sz w:val="19"/>
              </w:rPr>
              <w:t>trajetória de piora estrutural,</w:t>
              <w:br/>
              <w:t>não um ruído estatístico</w:t>
            </w:r>
            <w:r>
              <w:rPr>
                <w:sz w:val="19"/>
              </w:rPr>
              <w:t xml:space="preserve"> — no eixo orgânico/nutriente.</w:t>
            </w:r>
          </w:p>
        </w:tc>
      </w:tr>
    </w:tbl>
    <w:p/>
    <w:tbl>
      <w:tblPr>
        <w:tblW w:type="auto" w:w="0"/>
        <w:tblLook w:firstColumn="1" w:firstRow="1" w:lastColumn="0" w:lastRow="0" w:noHBand="0" w:noVBand="1" w:val="04A0"/>
      </w:tblPr>
      <w:tblGrid>
        <w:gridCol w:w="8640"/>
      </w:tblGrid>
      <w:tr>
        <w:tc>
          <w:tcPr>
            <w:tcW w:type="dxa" w:w="8640"/>
            <w:shd w:fill="EAF1FB"/>
          </w:tcPr>
          <w:p>
            <w:r/>
            <w:r>
              <w:rPr>
                <w:b/>
                <w:color w:val="2A78D6"/>
                <w:sz w:val="17"/>
              </w:rPr>
              <w:t>CONTRAPONTO POSITIVO</w:t>
            </w:r>
          </w:p>
          <w:p>
            <w:r>
              <w:rPr>
                <w:sz w:val="19"/>
              </w:rPr>
              <w:t xml:space="preserve">Os metais pesados contam uma história diferente e mais animadora: </w:t>
            </w:r>
            <w:r>
              <w:rPr>
                <w:b/>
                <w:sz w:val="19"/>
              </w:rPr>
              <w:t>Cádmio cai de forma significativa</w:t>
              <w:br/>
              <w:t>nos três trechos</w:t>
            </w:r>
            <w:r>
              <w:rPr>
                <w:sz w:val="19"/>
              </w:rPr>
              <w:t xml:space="preserve"> (τ entre -0,44 e -0,65, p&lt;0,001), e </w:t>
            </w:r>
            <w:r>
              <w:rPr>
                <w:b/>
                <w:sz w:val="19"/>
              </w:rPr>
              <w:t>Chumbo e Níquel caem significativamente</w:t>
              <w:br/>
              <w:t>no Alto e Médio Tietê</w:t>
            </w:r>
            <w:r>
              <w:rPr>
                <w:sz w:val="19"/>
              </w:rPr>
              <w:t xml:space="preserve"> (τ -0,32 a -0,53, p&lt;0,01). Zinco é o único metal sem tendência significativa em</w:t>
              <w:br/>
              <w:t>nenhum trecho (estável). Lidas em conjunto, essas quedas são compatíveis com décadas de controle de efluentes</w:t>
              <w:br/>
              <w:t>industriais surtindo efeito real — um resultado que a tabela abaixo destaca em verde para não ser confundido</w:t>
              <w:br/>
              <w:t>visualmente com a piora do eixo orgânico (em vermelho).</w:t>
            </w:r>
          </w:p>
        </w:tc>
      </w:tr>
    </w:tbl>
    <w:p/>
    <w:p>
      <w:pPr>
        <w:pStyle w:val="Heading3"/>
      </w:pPr>
      <w:r>
        <w:t>Tabela completa (17 parâmetros × 3 trechos)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7"/>
              </w:rPr>
              <w:t>Parâmetro</w:t>
            </w:r>
          </w:p>
        </w:tc>
        <w:tc>
          <w:tcPr>
            <w:tcW w:type="dxa" w:w="1728"/>
          </w:tcPr>
          <w:p>
            <w:r/>
            <w:r>
              <w:rPr>
                <w:b/>
                <w:sz w:val="17"/>
              </w:rPr>
              <w:t>Trecho</w:t>
            </w:r>
          </w:p>
        </w:tc>
        <w:tc>
          <w:tcPr>
            <w:tcW w:type="dxa" w:w="1728"/>
          </w:tcPr>
          <w:p>
            <w:r/>
            <w:r>
              <w:rPr>
                <w:b/>
                <w:sz w:val="17"/>
              </w:rPr>
              <w:t>τ de Kendall</w:t>
            </w:r>
          </w:p>
        </w:tc>
        <w:tc>
          <w:tcPr>
            <w:tcW w:type="dxa" w:w="1728"/>
          </w:tcPr>
          <w:p>
            <w:r/>
            <w:r>
              <w:rPr>
                <w:b/>
                <w:sz w:val="17"/>
              </w:rPr>
              <w:t>p-valor</w:t>
            </w:r>
          </w:p>
        </w:tc>
        <w:tc>
          <w:tcPr>
            <w:tcW w:type="dxa" w:w="1728"/>
          </w:tcPr>
          <w:p>
            <w:r/>
            <w:r>
              <w:rPr>
                <w:b/>
                <w:sz w:val="17"/>
              </w:rPr>
              <w:t>n</w:t>
            </w:r>
          </w:p>
        </w:tc>
      </w:tr>
      <w:tr>
        <w:tc>
          <w:tcPr>
            <w:tcW w:type="dxa" w:w="1728"/>
          </w:tcPr>
          <w:p>
            <w:r/>
            <w:r>
              <w:rPr>
                <w:sz w:val="18"/>
              </w:rPr>
              <w:t>cadmio_ppm</w:t>
            </w:r>
          </w:p>
        </w:tc>
        <w:tc>
          <w:tcPr>
            <w:tcW w:type="dxa" w:w="1728"/>
          </w:tcPr>
          <w:p>
            <w:r/>
            <w:r>
              <w:rPr>
                <w:sz w:val="18"/>
              </w:rPr>
              <w:t>Alto Tietê</w:t>
            </w:r>
          </w:p>
        </w:tc>
        <w:tc>
          <w:tcPr>
            <w:tcW w:type="dxa" w:w="1728"/>
          </w:tcPr>
          <w:p>
            <w:r/>
            <w:r>
              <w:rPr>
                <w:color w:val="0CA30C"/>
                <w:sz w:val="18"/>
              </w:rPr>
              <w:t>▼ -0.44 **</w:t>
            </w:r>
          </w:p>
        </w:tc>
        <w:tc>
          <w:tcPr>
            <w:tcW w:type="dxa" w:w="1728"/>
          </w:tcPr>
          <w:p>
            <w:r/>
            <w:r>
              <w:rPr>
                <w:sz w:val="18"/>
              </w:rPr>
              <w:t>0.0001</w:t>
            </w:r>
          </w:p>
        </w:tc>
        <w:tc>
          <w:tcPr>
            <w:tcW w:type="dxa" w:w="1728"/>
          </w:tcPr>
          <w:p>
            <w:r/>
            <w:r>
              <w:rPr>
                <w:sz w:val="18"/>
              </w:rPr>
              <w:t>40</w:t>
            </w:r>
          </w:p>
        </w:tc>
      </w:tr>
      <w:tr>
        <w:tc>
          <w:tcPr>
            <w:tcW w:type="dxa" w:w="1728"/>
          </w:tcPr>
          <w:p>
            <w:r/>
            <w:r>
              <w:rPr>
                <w:sz w:val="18"/>
              </w:rPr>
              <w:t>cadmio_ppm</w:t>
            </w:r>
          </w:p>
        </w:tc>
        <w:tc>
          <w:tcPr>
            <w:tcW w:type="dxa" w:w="1728"/>
          </w:tcPr>
          <w:p>
            <w:r/>
            <w:r>
              <w:rPr>
                <w:sz w:val="18"/>
              </w:rPr>
              <w:t>Médio Tietê</w:t>
            </w:r>
          </w:p>
        </w:tc>
        <w:tc>
          <w:tcPr>
            <w:tcW w:type="dxa" w:w="1728"/>
          </w:tcPr>
          <w:p>
            <w:r/>
            <w:r>
              <w:rPr>
                <w:color w:val="0CA30C"/>
                <w:sz w:val="18"/>
              </w:rPr>
              <w:t>▼ -0.58 **</w:t>
            </w:r>
          </w:p>
        </w:tc>
        <w:tc>
          <w:tcPr>
            <w:tcW w:type="dxa" w:w="1728"/>
          </w:tcPr>
          <w:p>
            <w:r/>
            <w:r>
              <w:rPr>
                <w:sz w:val="18"/>
              </w:rPr>
              <w:t>0.0000</w:t>
            </w:r>
          </w:p>
        </w:tc>
        <w:tc>
          <w:tcPr>
            <w:tcW w:type="dxa" w:w="1728"/>
          </w:tcPr>
          <w:p>
            <w:r/>
            <w:r>
              <w:rPr>
                <w:sz w:val="18"/>
              </w:rPr>
              <w:t>40</w:t>
            </w:r>
          </w:p>
        </w:tc>
      </w:tr>
      <w:tr>
        <w:tc>
          <w:tcPr>
            <w:tcW w:type="dxa" w:w="1728"/>
          </w:tcPr>
          <w:p>
            <w:r/>
            <w:r>
              <w:rPr>
                <w:sz w:val="18"/>
              </w:rPr>
              <w:t>cadmio_ppm</w:t>
            </w:r>
          </w:p>
        </w:tc>
        <w:tc>
          <w:tcPr>
            <w:tcW w:type="dxa" w:w="1728"/>
          </w:tcPr>
          <w:p>
            <w:r/>
            <w:r>
              <w:rPr>
                <w:sz w:val="18"/>
              </w:rPr>
              <w:t>Baixo Tietê</w:t>
            </w:r>
          </w:p>
        </w:tc>
        <w:tc>
          <w:tcPr>
            <w:tcW w:type="dxa" w:w="1728"/>
          </w:tcPr>
          <w:p>
            <w:r/>
            <w:r>
              <w:rPr>
                <w:color w:val="0CA30C"/>
                <w:sz w:val="18"/>
              </w:rPr>
              <w:t>▼ -0.65 **</w:t>
            </w:r>
          </w:p>
        </w:tc>
        <w:tc>
          <w:tcPr>
            <w:tcW w:type="dxa" w:w="1728"/>
          </w:tcPr>
          <w:p>
            <w:r/>
            <w:r>
              <w:rPr>
                <w:sz w:val="18"/>
              </w:rPr>
              <w:t>0.0000</w:t>
            </w:r>
          </w:p>
        </w:tc>
        <w:tc>
          <w:tcPr>
            <w:tcW w:type="dxa" w:w="1728"/>
          </w:tcPr>
          <w:p>
            <w:r/>
            <w:r>
              <w:rPr>
                <w:sz w:val="18"/>
              </w:rPr>
              <w:t>30</w:t>
            </w:r>
          </w:p>
        </w:tc>
      </w:tr>
      <w:tr>
        <w:tc>
          <w:tcPr>
            <w:tcW w:type="dxa" w:w="1728"/>
          </w:tcPr>
          <w:p>
            <w:r/>
            <w:r>
              <w:rPr>
                <w:sz w:val="18"/>
              </w:rPr>
              <w:t>chumbo_ppm</w:t>
            </w:r>
          </w:p>
        </w:tc>
        <w:tc>
          <w:tcPr>
            <w:tcW w:type="dxa" w:w="1728"/>
          </w:tcPr>
          <w:p>
            <w:r/>
            <w:r>
              <w:rPr>
                <w:sz w:val="18"/>
              </w:rPr>
              <w:t>Alto Tietê</w:t>
            </w:r>
          </w:p>
        </w:tc>
        <w:tc>
          <w:tcPr>
            <w:tcW w:type="dxa" w:w="1728"/>
          </w:tcPr>
          <w:p>
            <w:r/>
            <w:r>
              <w:rPr>
                <w:color w:val="0CA30C"/>
                <w:sz w:val="18"/>
              </w:rPr>
              <w:t>▼ -0.53 **</w:t>
            </w:r>
          </w:p>
        </w:tc>
        <w:tc>
          <w:tcPr>
            <w:tcW w:type="dxa" w:w="1728"/>
          </w:tcPr>
          <w:p>
            <w:r/>
            <w:r>
              <w:rPr>
                <w:sz w:val="18"/>
              </w:rPr>
              <w:t>0.0000</w:t>
            </w:r>
          </w:p>
        </w:tc>
        <w:tc>
          <w:tcPr>
            <w:tcW w:type="dxa" w:w="1728"/>
          </w:tcPr>
          <w:p>
            <w:r/>
            <w:r>
              <w:rPr>
                <w:sz w:val="18"/>
              </w:rPr>
              <w:t>47</w:t>
            </w:r>
          </w:p>
        </w:tc>
      </w:tr>
      <w:tr>
        <w:tc>
          <w:tcPr>
            <w:tcW w:type="dxa" w:w="1728"/>
          </w:tcPr>
          <w:p>
            <w:r/>
            <w:r>
              <w:rPr>
                <w:sz w:val="18"/>
              </w:rPr>
              <w:t>chumbo_ppm</w:t>
            </w:r>
          </w:p>
        </w:tc>
        <w:tc>
          <w:tcPr>
            <w:tcW w:type="dxa" w:w="1728"/>
          </w:tcPr>
          <w:p>
            <w:r/>
            <w:r>
              <w:rPr>
                <w:sz w:val="18"/>
              </w:rPr>
              <w:t>Médio Tietê</w:t>
            </w:r>
          </w:p>
        </w:tc>
        <w:tc>
          <w:tcPr>
            <w:tcW w:type="dxa" w:w="1728"/>
          </w:tcPr>
          <w:p>
            <w:r/>
            <w:r>
              <w:rPr>
                <w:color w:val="0CA30C"/>
                <w:sz w:val="18"/>
              </w:rPr>
              <w:t>▼ -0.41 **</w:t>
            </w:r>
          </w:p>
        </w:tc>
        <w:tc>
          <w:tcPr>
            <w:tcW w:type="dxa" w:w="1728"/>
          </w:tcPr>
          <w:p>
            <w:r/>
            <w:r>
              <w:rPr>
                <w:sz w:val="18"/>
              </w:rPr>
              <w:t>0.0000</w:t>
            </w:r>
          </w:p>
        </w:tc>
        <w:tc>
          <w:tcPr>
            <w:tcW w:type="dxa" w:w="1728"/>
          </w:tcPr>
          <w:p>
            <w:r/>
            <w:r>
              <w:rPr>
                <w:sz w:val="18"/>
              </w:rPr>
              <w:t>46</w:t>
            </w:r>
          </w:p>
        </w:tc>
      </w:tr>
      <w:tr>
        <w:tc>
          <w:tcPr>
            <w:tcW w:type="dxa" w:w="1728"/>
          </w:tcPr>
          <w:p>
            <w:r/>
            <w:r>
              <w:rPr>
                <w:sz w:val="18"/>
              </w:rPr>
              <w:t>chumbo_ppm</w:t>
            </w:r>
          </w:p>
        </w:tc>
        <w:tc>
          <w:tcPr>
            <w:tcW w:type="dxa" w:w="1728"/>
          </w:tcPr>
          <w:p>
            <w:r/>
            <w:r>
              <w:rPr>
                <w:sz w:val="18"/>
              </w:rPr>
              <w:t>Baixo Tietê</w:t>
            </w:r>
          </w:p>
        </w:tc>
        <w:tc>
          <w:tcPr>
            <w:tcW w:type="dxa" w:w="1728"/>
          </w:tcPr>
          <w:p>
            <w:r/>
            <w:r>
              <w:rPr>
                <w:sz w:val="18"/>
              </w:rPr>
              <w:t>— -0.23</w:t>
            </w:r>
          </w:p>
        </w:tc>
        <w:tc>
          <w:tcPr>
            <w:tcW w:type="dxa" w:w="1728"/>
          </w:tcPr>
          <w:p>
            <w:r/>
            <w:r>
              <w:rPr>
                <w:sz w:val="18"/>
              </w:rPr>
              <w:t>0.0639</w:t>
            </w:r>
          </w:p>
        </w:tc>
        <w:tc>
          <w:tcPr>
            <w:tcW w:type="dxa" w:w="1728"/>
          </w:tcPr>
          <w:p>
            <w:r/>
            <w:r>
              <w:rPr>
                <w:sz w:val="18"/>
              </w:rPr>
              <w:t>33</w:t>
            </w:r>
          </w:p>
        </w:tc>
      </w:tr>
      <w:tr>
        <w:tc>
          <w:tcPr>
            <w:tcW w:type="dxa" w:w="1728"/>
          </w:tcPr>
          <w:p>
            <w:r/>
            <w:r>
              <w:rPr>
                <w:sz w:val="18"/>
              </w:rPr>
              <w:t>coliformes_nmp_100ml</w:t>
            </w:r>
          </w:p>
        </w:tc>
        <w:tc>
          <w:tcPr>
            <w:tcW w:type="dxa" w:w="1728"/>
          </w:tcPr>
          <w:p>
            <w:r/>
            <w:r>
              <w:rPr>
                <w:sz w:val="18"/>
              </w:rPr>
              <w:t>Alto Tietê</w:t>
            </w:r>
          </w:p>
        </w:tc>
        <w:tc>
          <w:tcPr>
            <w:tcW w:type="dxa" w:w="1728"/>
          </w:tcPr>
          <w:p>
            <w:r/>
            <w:r>
              <w:rPr>
                <w:sz w:val="18"/>
              </w:rPr>
              <w:t>— -0.16</w:t>
            </w:r>
          </w:p>
        </w:tc>
        <w:tc>
          <w:tcPr>
            <w:tcW w:type="dxa" w:w="1728"/>
          </w:tcPr>
          <w:p>
            <w:r/>
            <w:r>
              <w:rPr>
                <w:sz w:val="18"/>
              </w:rPr>
              <w:t>0.1821</w:t>
            </w:r>
          </w:p>
        </w:tc>
        <w:tc>
          <w:tcPr>
            <w:tcW w:type="dxa" w:w="1728"/>
          </w:tcPr>
          <w:p>
            <w:r/>
            <w:r>
              <w:rPr>
                <w:sz w:val="18"/>
              </w:rPr>
              <w:t>34</w:t>
            </w:r>
          </w:p>
        </w:tc>
      </w:tr>
      <w:tr>
        <w:tc>
          <w:tcPr>
            <w:tcW w:type="dxa" w:w="1728"/>
          </w:tcPr>
          <w:p>
            <w:r/>
            <w:r>
              <w:rPr>
                <w:sz w:val="18"/>
              </w:rPr>
              <w:t>coliformes_nmp_100ml</w:t>
            </w:r>
          </w:p>
        </w:tc>
        <w:tc>
          <w:tcPr>
            <w:tcW w:type="dxa" w:w="1728"/>
          </w:tcPr>
          <w:p>
            <w:r/>
            <w:r>
              <w:rPr>
                <w:sz w:val="18"/>
              </w:rPr>
              <w:t>Médio Tietê</w:t>
            </w:r>
          </w:p>
        </w:tc>
        <w:tc>
          <w:tcPr>
            <w:tcW w:type="dxa" w:w="1728"/>
          </w:tcPr>
          <w:p>
            <w:r/>
            <w:r>
              <w:rPr>
                <w:sz w:val="18"/>
              </w:rPr>
              <w:t>— -0.07</w:t>
            </w:r>
          </w:p>
        </w:tc>
        <w:tc>
          <w:tcPr>
            <w:tcW w:type="dxa" w:w="1728"/>
          </w:tcPr>
          <w:p>
            <w:r/>
            <w:r>
              <w:rPr>
                <w:sz w:val="18"/>
              </w:rPr>
              <w:t>0.5532</w:t>
            </w:r>
          </w:p>
        </w:tc>
        <w:tc>
          <w:tcPr>
            <w:tcW w:type="dxa" w:w="1728"/>
          </w:tcPr>
          <w:p>
            <w:r/>
            <w:r>
              <w:rPr>
                <w:sz w:val="18"/>
              </w:rPr>
              <w:t>34</w:t>
            </w:r>
          </w:p>
        </w:tc>
      </w:tr>
      <w:tr>
        <w:tc>
          <w:tcPr>
            <w:tcW w:type="dxa" w:w="1728"/>
          </w:tcPr>
          <w:p>
            <w:r/>
            <w:r>
              <w:rPr>
                <w:sz w:val="18"/>
              </w:rPr>
              <w:t>coliformes_nmp_100ml</w:t>
            </w:r>
          </w:p>
        </w:tc>
        <w:tc>
          <w:tcPr>
            <w:tcW w:type="dxa" w:w="1728"/>
          </w:tcPr>
          <w:p>
            <w:r/>
            <w:r>
              <w:rPr>
                <w:sz w:val="18"/>
              </w:rPr>
              <w:t>Baixo Tietê</w:t>
            </w:r>
          </w:p>
        </w:tc>
        <w:tc>
          <w:tcPr>
            <w:tcW w:type="dxa" w:w="1728"/>
          </w:tcPr>
          <w:p>
            <w:r/>
            <w:r>
              <w:rPr>
                <w:sz w:val="18"/>
              </w:rPr>
              <w:t>— -0.17</w:t>
            </w:r>
          </w:p>
        </w:tc>
        <w:tc>
          <w:tcPr>
            <w:tcW w:type="dxa" w:w="1728"/>
          </w:tcPr>
          <w:p>
            <w:r/>
            <w:r>
              <w:rPr>
                <w:sz w:val="18"/>
              </w:rPr>
              <w:t>0.1726</w:t>
            </w:r>
          </w:p>
        </w:tc>
        <w:tc>
          <w:tcPr>
            <w:tcW w:type="dxa" w:w="1728"/>
          </w:tcPr>
          <w:p>
            <w:r/>
            <w:r>
              <w:rPr>
                <w:sz w:val="18"/>
              </w:rPr>
              <w:t>34</w:t>
            </w:r>
          </w:p>
        </w:tc>
      </w:tr>
      <w:tr>
        <w:tc>
          <w:tcPr>
            <w:tcW w:type="dxa" w:w="1728"/>
          </w:tcPr>
          <w:p>
            <w:r/>
            <w:r>
              <w:rPr>
                <w:sz w:val="18"/>
              </w:rPr>
              <w:t>condutividade_us_cm</w:t>
            </w:r>
          </w:p>
        </w:tc>
        <w:tc>
          <w:tcPr>
            <w:tcW w:type="dxa" w:w="1728"/>
          </w:tcPr>
          <w:p>
            <w:r/>
            <w:r>
              <w:rPr>
                <w:sz w:val="18"/>
              </w:rPr>
              <w:t>Alto Tietê</w:t>
            </w:r>
          </w:p>
        </w:tc>
        <w:tc>
          <w:tcPr>
            <w:tcW w:type="dxa" w:w="1728"/>
          </w:tcPr>
          <w:p>
            <w:r/>
            <w:r>
              <w:rPr>
                <w:color w:val="D03B3B"/>
                <w:sz w:val="18"/>
              </w:rPr>
              <w:t>▲ 0.68 **</w:t>
            </w:r>
          </w:p>
        </w:tc>
        <w:tc>
          <w:tcPr>
            <w:tcW w:type="dxa" w:w="1728"/>
          </w:tcPr>
          <w:p>
            <w:r/>
            <w:r>
              <w:rPr>
                <w:sz w:val="18"/>
              </w:rPr>
              <w:t>0.0000</w:t>
            </w:r>
          </w:p>
        </w:tc>
        <w:tc>
          <w:tcPr>
            <w:tcW w:type="dxa" w:w="1728"/>
          </w:tcPr>
          <w:p>
            <w:r/>
            <w:r>
              <w:rPr>
                <w:sz w:val="18"/>
              </w:rPr>
              <w:t>39</w:t>
            </w:r>
          </w:p>
        </w:tc>
      </w:tr>
      <w:tr>
        <w:tc>
          <w:tcPr>
            <w:tcW w:type="dxa" w:w="1728"/>
          </w:tcPr>
          <w:p>
            <w:r/>
            <w:r>
              <w:rPr>
                <w:sz w:val="18"/>
              </w:rPr>
              <w:t>condutividade_us_cm</w:t>
            </w:r>
          </w:p>
        </w:tc>
        <w:tc>
          <w:tcPr>
            <w:tcW w:type="dxa" w:w="1728"/>
          </w:tcPr>
          <w:p>
            <w:r/>
            <w:r>
              <w:rPr>
                <w:sz w:val="18"/>
              </w:rPr>
              <w:t>Médio Tietê</w:t>
            </w:r>
          </w:p>
        </w:tc>
        <w:tc>
          <w:tcPr>
            <w:tcW w:type="dxa" w:w="1728"/>
          </w:tcPr>
          <w:p>
            <w:r/>
            <w:r>
              <w:rPr>
                <w:color w:val="D03B3B"/>
                <w:sz w:val="18"/>
              </w:rPr>
              <w:t>▲ 0.76 **</w:t>
            </w:r>
          </w:p>
        </w:tc>
        <w:tc>
          <w:tcPr>
            <w:tcW w:type="dxa" w:w="1728"/>
          </w:tcPr>
          <w:p>
            <w:r/>
            <w:r>
              <w:rPr>
                <w:sz w:val="18"/>
              </w:rPr>
              <w:t>0.0000</w:t>
            </w:r>
          </w:p>
        </w:tc>
        <w:tc>
          <w:tcPr>
            <w:tcW w:type="dxa" w:w="1728"/>
          </w:tcPr>
          <w:p>
            <w:r/>
            <w:r>
              <w:rPr>
                <w:sz w:val="18"/>
              </w:rPr>
              <w:t>39</w:t>
            </w:r>
          </w:p>
        </w:tc>
      </w:tr>
      <w:tr>
        <w:tc>
          <w:tcPr>
            <w:tcW w:type="dxa" w:w="1728"/>
          </w:tcPr>
          <w:p>
            <w:r/>
            <w:r>
              <w:rPr>
                <w:sz w:val="18"/>
              </w:rPr>
              <w:t>condutividade_us_cm</w:t>
            </w:r>
          </w:p>
        </w:tc>
        <w:tc>
          <w:tcPr>
            <w:tcW w:type="dxa" w:w="1728"/>
          </w:tcPr>
          <w:p>
            <w:r/>
            <w:r>
              <w:rPr>
                <w:sz w:val="18"/>
              </w:rPr>
              <w:t>Baixo Tietê</w:t>
            </w:r>
          </w:p>
        </w:tc>
        <w:tc>
          <w:tcPr>
            <w:tcW w:type="dxa" w:w="1728"/>
          </w:tcPr>
          <w:p>
            <w:r/>
            <w:r>
              <w:rPr>
                <w:color w:val="D03B3B"/>
                <w:sz w:val="18"/>
              </w:rPr>
              <w:t>▲ 0.64 **</w:t>
            </w:r>
          </w:p>
        </w:tc>
        <w:tc>
          <w:tcPr>
            <w:tcW w:type="dxa" w:w="1728"/>
          </w:tcPr>
          <w:p>
            <w:r/>
            <w:r>
              <w:rPr>
                <w:sz w:val="18"/>
              </w:rPr>
              <w:t>0.0000</w:t>
            </w:r>
          </w:p>
        </w:tc>
        <w:tc>
          <w:tcPr>
            <w:tcW w:type="dxa" w:w="1728"/>
          </w:tcPr>
          <w:p>
            <w:r/>
            <w:r>
              <w:rPr>
                <w:sz w:val="18"/>
              </w:rPr>
              <w:t>39</w:t>
            </w:r>
          </w:p>
        </w:tc>
      </w:tr>
      <w:tr>
        <w:tc>
          <w:tcPr>
            <w:tcW w:type="dxa" w:w="1728"/>
          </w:tcPr>
          <w:p>
            <w:r/>
            <w:r>
              <w:rPr>
                <w:sz w:val="18"/>
              </w:rPr>
              <w:t>cromo_ppm</w:t>
            </w:r>
          </w:p>
        </w:tc>
        <w:tc>
          <w:tcPr>
            <w:tcW w:type="dxa" w:w="1728"/>
          </w:tcPr>
          <w:p>
            <w:r/>
            <w:r>
              <w:rPr>
                <w:sz w:val="18"/>
              </w:rPr>
              <w:t>Alto Tietê</w:t>
            </w:r>
          </w:p>
        </w:tc>
        <w:tc>
          <w:tcPr>
            <w:tcW w:type="dxa" w:w="1728"/>
          </w:tcPr>
          <w:p>
            <w:r/>
            <w:r>
              <w:rPr>
                <w:color w:val="0CA30C"/>
                <w:sz w:val="18"/>
              </w:rPr>
              <w:t>▼ -0.27 **</w:t>
            </w:r>
          </w:p>
        </w:tc>
        <w:tc>
          <w:tcPr>
            <w:tcW w:type="dxa" w:w="1728"/>
          </w:tcPr>
          <w:p>
            <w:r/>
            <w:r>
              <w:rPr>
                <w:sz w:val="18"/>
              </w:rPr>
              <w:t>0.0074</w:t>
            </w:r>
          </w:p>
        </w:tc>
        <w:tc>
          <w:tcPr>
            <w:tcW w:type="dxa" w:w="1728"/>
          </w:tcPr>
          <w:p>
            <w:r/>
            <w:r>
              <w:rPr>
                <w:sz w:val="18"/>
              </w:rPr>
              <w:t>47</w:t>
            </w:r>
          </w:p>
        </w:tc>
      </w:tr>
      <w:tr>
        <w:tc>
          <w:tcPr>
            <w:tcW w:type="dxa" w:w="1728"/>
          </w:tcPr>
          <w:p>
            <w:r/>
            <w:r>
              <w:rPr>
                <w:sz w:val="18"/>
              </w:rPr>
              <w:t>cromo_ppm</w:t>
            </w:r>
          </w:p>
        </w:tc>
        <w:tc>
          <w:tcPr>
            <w:tcW w:type="dxa" w:w="1728"/>
          </w:tcPr>
          <w:p>
            <w:r/>
            <w:r>
              <w:rPr>
                <w:sz w:val="18"/>
              </w:rPr>
              <w:t>Médio Tietê</w:t>
            </w:r>
          </w:p>
        </w:tc>
        <w:tc>
          <w:tcPr>
            <w:tcW w:type="dxa" w:w="1728"/>
          </w:tcPr>
          <w:p>
            <w:r/>
            <w:r>
              <w:rPr>
                <w:sz w:val="18"/>
              </w:rPr>
              <w:t>— -0.03</w:t>
            </w:r>
          </w:p>
        </w:tc>
        <w:tc>
          <w:tcPr>
            <w:tcW w:type="dxa" w:w="1728"/>
          </w:tcPr>
          <w:p>
            <w:r/>
            <w:r>
              <w:rPr>
                <w:sz w:val="18"/>
              </w:rPr>
              <w:t>0.8130</w:t>
            </w:r>
          </w:p>
        </w:tc>
        <w:tc>
          <w:tcPr>
            <w:tcW w:type="dxa" w:w="1728"/>
          </w:tcPr>
          <w:p>
            <w:r/>
            <w:r>
              <w:rPr>
                <w:sz w:val="18"/>
              </w:rPr>
              <w:t>37</w:t>
            </w:r>
          </w:p>
        </w:tc>
      </w:tr>
      <w:tr>
        <w:tc>
          <w:tcPr>
            <w:tcW w:type="dxa" w:w="1728"/>
          </w:tcPr>
          <w:p>
            <w:r/>
            <w:r>
              <w:rPr>
                <w:sz w:val="18"/>
              </w:rPr>
              <w:t>cromo_ppm</w:t>
            </w:r>
          </w:p>
        </w:tc>
        <w:tc>
          <w:tcPr>
            <w:tcW w:type="dxa" w:w="1728"/>
          </w:tcPr>
          <w:p>
            <w:r/>
            <w:r>
              <w:rPr>
                <w:sz w:val="18"/>
              </w:rPr>
              <w:t>Baixo Tietê</w:t>
            </w:r>
          </w:p>
        </w:tc>
        <w:tc>
          <w:tcPr>
            <w:tcW w:type="dxa" w:w="1728"/>
          </w:tcPr>
          <w:p>
            <w:r/>
            <w:r>
              <w:rPr>
                <w:color w:val="0CA30C"/>
                <w:sz w:val="18"/>
              </w:rPr>
              <w:t>▼ -0.27 **</w:t>
            </w:r>
          </w:p>
        </w:tc>
        <w:tc>
          <w:tcPr>
            <w:tcW w:type="dxa" w:w="1728"/>
          </w:tcPr>
          <w:p>
            <w:r/>
            <w:r>
              <w:rPr>
                <w:sz w:val="18"/>
              </w:rPr>
              <w:t>0.0323</w:t>
            </w:r>
          </w:p>
        </w:tc>
        <w:tc>
          <w:tcPr>
            <w:tcW w:type="dxa" w:w="1728"/>
          </w:tcPr>
          <w:p>
            <w:r/>
            <w:r>
              <w:rPr>
                <w:sz w:val="18"/>
              </w:rPr>
              <w:t>31</w:t>
            </w:r>
          </w:p>
        </w:tc>
      </w:tr>
      <w:tr>
        <w:tc>
          <w:tcPr>
            <w:tcW w:type="dxa" w:w="1728"/>
          </w:tcPr>
          <w:p>
            <w:r/>
            <w:r>
              <w:rPr>
                <w:sz w:val="18"/>
              </w:rPr>
              <w:t>dbo_mg_l</w:t>
            </w:r>
          </w:p>
        </w:tc>
        <w:tc>
          <w:tcPr>
            <w:tcW w:type="dxa" w:w="1728"/>
          </w:tcPr>
          <w:p>
            <w:r/>
            <w:r>
              <w:rPr>
                <w:sz w:val="18"/>
              </w:rPr>
              <w:t>Alto Tietê</w:t>
            </w:r>
          </w:p>
        </w:tc>
        <w:tc>
          <w:tcPr>
            <w:tcW w:type="dxa" w:w="1728"/>
          </w:tcPr>
          <w:p>
            <w:r/>
            <w:r>
              <w:rPr>
                <w:color w:val="D03B3B"/>
                <w:sz w:val="18"/>
              </w:rPr>
              <w:t>▲ 0.33 **</w:t>
            </w:r>
          </w:p>
        </w:tc>
        <w:tc>
          <w:tcPr>
            <w:tcW w:type="dxa" w:w="1728"/>
          </w:tcPr>
          <w:p>
            <w:r/>
            <w:r>
              <w:rPr>
                <w:sz w:val="18"/>
              </w:rPr>
              <w:t>0.0019</w:t>
            </w:r>
          </w:p>
        </w:tc>
        <w:tc>
          <w:tcPr>
            <w:tcW w:type="dxa" w:w="1728"/>
          </w:tcPr>
          <w:p>
            <w:r/>
            <w:r>
              <w:rPr>
                <w:sz w:val="18"/>
              </w:rPr>
              <w:t>44</w:t>
            </w:r>
          </w:p>
        </w:tc>
      </w:tr>
      <w:tr>
        <w:tc>
          <w:tcPr>
            <w:tcW w:type="dxa" w:w="1728"/>
          </w:tcPr>
          <w:p>
            <w:r/>
            <w:r>
              <w:rPr>
                <w:sz w:val="18"/>
              </w:rPr>
              <w:t>dbo_mg_l</w:t>
            </w:r>
          </w:p>
        </w:tc>
        <w:tc>
          <w:tcPr>
            <w:tcW w:type="dxa" w:w="1728"/>
          </w:tcPr>
          <w:p>
            <w:r/>
            <w:r>
              <w:rPr>
                <w:sz w:val="18"/>
              </w:rPr>
              <w:t>Médio Tietê</w:t>
            </w:r>
          </w:p>
        </w:tc>
        <w:tc>
          <w:tcPr>
            <w:tcW w:type="dxa" w:w="1728"/>
          </w:tcPr>
          <w:p>
            <w:r/>
            <w:r>
              <w:rPr>
                <w:color w:val="D03B3B"/>
                <w:sz w:val="18"/>
              </w:rPr>
              <w:t>▲ 0.48 **</w:t>
            </w:r>
          </w:p>
        </w:tc>
        <w:tc>
          <w:tcPr>
            <w:tcW w:type="dxa" w:w="1728"/>
          </w:tcPr>
          <w:p>
            <w:r/>
            <w:r>
              <w:rPr>
                <w:sz w:val="18"/>
              </w:rPr>
              <w:t>0.0000</w:t>
            </w:r>
          </w:p>
        </w:tc>
        <w:tc>
          <w:tcPr>
            <w:tcW w:type="dxa" w:w="1728"/>
          </w:tcPr>
          <w:p>
            <w:r/>
            <w:r>
              <w:rPr>
                <w:sz w:val="18"/>
              </w:rPr>
              <w:t>45</w:t>
            </w:r>
          </w:p>
        </w:tc>
      </w:tr>
      <w:tr>
        <w:tc>
          <w:tcPr>
            <w:tcW w:type="dxa" w:w="1728"/>
          </w:tcPr>
          <w:p>
            <w:r/>
            <w:r>
              <w:rPr>
                <w:sz w:val="18"/>
              </w:rPr>
              <w:t>dbo_mg_l</w:t>
            </w:r>
          </w:p>
        </w:tc>
        <w:tc>
          <w:tcPr>
            <w:tcW w:type="dxa" w:w="1728"/>
          </w:tcPr>
          <w:p>
            <w:r/>
            <w:r>
              <w:rPr>
                <w:sz w:val="18"/>
              </w:rPr>
              <w:t>Baixo Tietê</w:t>
            </w:r>
          </w:p>
        </w:tc>
        <w:tc>
          <w:tcPr>
            <w:tcW w:type="dxa" w:w="1728"/>
          </w:tcPr>
          <w:p>
            <w:r/>
            <w:r>
              <w:rPr>
                <w:sz w:val="18"/>
              </w:rPr>
              <w:t>— -0.11</w:t>
            </w:r>
          </w:p>
        </w:tc>
        <w:tc>
          <w:tcPr>
            <w:tcW w:type="dxa" w:w="1728"/>
          </w:tcPr>
          <w:p>
            <w:r/>
            <w:r>
              <w:rPr>
                <w:sz w:val="18"/>
              </w:rPr>
              <w:t>0.2823</w:t>
            </w:r>
          </w:p>
        </w:tc>
        <w:tc>
          <w:tcPr>
            <w:tcW w:type="dxa" w:w="1728"/>
          </w:tcPr>
          <w:p>
            <w:r/>
            <w:r>
              <w:rPr>
                <w:sz w:val="18"/>
              </w:rPr>
              <w:t>44</w:t>
            </w:r>
          </w:p>
        </w:tc>
      </w:tr>
      <w:tr>
        <w:tc>
          <w:tcPr>
            <w:tcW w:type="dxa" w:w="1728"/>
          </w:tcPr>
          <w:p>
            <w:r/>
            <w:r>
              <w:rPr>
                <w:sz w:val="18"/>
              </w:rPr>
              <w:t>fosforo_total_mg_l</w:t>
            </w:r>
          </w:p>
        </w:tc>
        <w:tc>
          <w:tcPr>
            <w:tcW w:type="dxa" w:w="1728"/>
          </w:tcPr>
          <w:p>
            <w:r/>
            <w:r>
              <w:rPr>
                <w:sz w:val="18"/>
              </w:rPr>
              <w:t>Alto Tietê</w:t>
            </w:r>
          </w:p>
        </w:tc>
        <w:tc>
          <w:tcPr>
            <w:tcW w:type="dxa" w:w="1728"/>
          </w:tcPr>
          <w:p>
            <w:r/>
            <w:r>
              <w:rPr>
                <w:color w:val="D03B3B"/>
                <w:sz w:val="18"/>
              </w:rPr>
              <w:t>▲ 0.45 **</w:t>
            </w:r>
          </w:p>
        </w:tc>
        <w:tc>
          <w:tcPr>
            <w:tcW w:type="dxa" w:w="1728"/>
          </w:tcPr>
          <w:p>
            <w:r/>
            <w:r>
              <w:rPr>
                <w:sz w:val="18"/>
              </w:rPr>
              <w:t>0.0000</w:t>
            </w:r>
          </w:p>
        </w:tc>
        <w:tc>
          <w:tcPr>
            <w:tcW w:type="dxa" w:w="1728"/>
          </w:tcPr>
          <w:p>
            <w:r/>
            <w:r>
              <w:rPr>
                <w:sz w:val="18"/>
              </w:rPr>
              <w:t>47</w:t>
            </w:r>
          </w:p>
        </w:tc>
      </w:tr>
      <w:tr>
        <w:tc>
          <w:tcPr>
            <w:tcW w:type="dxa" w:w="1728"/>
          </w:tcPr>
          <w:p>
            <w:r/>
            <w:r>
              <w:rPr>
                <w:sz w:val="18"/>
              </w:rPr>
              <w:t>fosforo_total_mg_l</w:t>
            </w:r>
          </w:p>
        </w:tc>
        <w:tc>
          <w:tcPr>
            <w:tcW w:type="dxa" w:w="1728"/>
          </w:tcPr>
          <w:p>
            <w:r/>
            <w:r>
              <w:rPr>
                <w:sz w:val="18"/>
              </w:rPr>
              <w:t>Médio Tietê</w:t>
            </w:r>
          </w:p>
        </w:tc>
        <w:tc>
          <w:tcPr>
            <w:tcW w:type="dxa" w:w="1728"/>
          </w:tcPr>
          <w:p>
            <w:r/>
            <w:r>
              <w:rPr>
                <w:color w:val="D03B3B"/>
                <w:sz w:val="18"/>
              </w:rPr>
              <w:t>▲ 0.59 **</w:t>
            </w:r>
          </w:p>
        </w:tc>
        <w:tc>
          <w:tcPr>
            <w:tcW w:type="dxa" w:w="1728"/>
          </w:tcPr>
          <w:p>
            <w:r/>
            <w:r>
              <w:rPr>
                <w:sz w:val="18"/>
              </w:rPr>
              <w:t>0.0000</w:t>
            </w:r>
          </w:p>
        </w:tc>
        <w:tc>
          <w:tcPr>
            <w:tcW w:type="dxa" w:w="1728"/>
          </w:tcPr>
          <w:p>
            <w:r/>
            <w:r>
              <w:rPr>
                <w:sz w:val="18"/>
              </w:rPr>
              <w:t>47</w:t>
            </w:r>
          </w:p>
        </w:tc>
      </w:tr>
      <w:tr>
        <w:tc>
          <w:tcPr>
            <w:tcW w:type="dxa" w:w="1728"/>
          </w:tcPr>
          <w:p>
            <w:r/>
            <w:r>
              <w:rPr>
                <w:sz w:val="18"/>
              </w:rPr>
              <w:t>fosforo_total_mg_l</w:t>
            </w:r>
          </w:p>
        </w:tc>
        <w:tc>
          <w:tcPr>
            <w:tcW w:type="dxa" w:w="1728"/>
          </w:tcPr>
          <w:p>
            <w:r/>
            <w:r>
              <w:rPr>
                <w:sz w:val="18"/>
              </w:rPr>
              <w:t>Baixo Tietê</w:t>
            </w:r>
          </w:p>
        </w:tc>
        <w:tc>
          <w:tcPr>
            <w:tcW w:type="dxa" w:w="1728"/>
          </w:tcPr>
          <w:p>
            <w:r/>
            <w:r>
              <w:rPr>
                <w:sz w:val="18"/>
              </w:rPr>
              <w:t>— -0.15</w:t>
            </w:r>
          </w:p>
        </w:tc>
        <w:tc>
          <w:tcPr>
            <w:tcW w:type="dxa" w:w="1728"/>
          </w:tcPr>
          <w:p>
            <w:r/>
            <w:r>
              <w:rPr>
                <w:sz w:val="18"/>
              </w:rPr>
              <w:t>0.1473</w:t>
            </w:r>
          </w:p>
        </w:tc>
        <w:tc>
          <w:tcPr>
            <w:tcW w:type="dxa" w:w="1728"/>
          </w:tcPr>
          <w:p>
            <w:r/>
            <w:r>
              <w:rPr>
                <w:sz w:val="18"/>
              </w:rPr>
              <w:t>47</w:t>
            </w:r>
          </w:p>
        </w:tc>
      </w:tr>
      <w:tr>
        <w:tc>
          <w:tcPr>
            <w:tcW w:type="dxa" w:w="1728"/>
          </w:tcPr>
          <w:p>
            <w:r/>
            <w:r>
              <w:rPr>
                <w:sz w:val="18"/>
              </w:rPr>
              <w:t>mercurio_ppm</w:t>
            </w:r>
          </w:p>
        </w:tc>
        <w:tc>
          <w:tcPr>
            <w:tcW w:type="dxa" w:w="1728"/>
          </w:tcPr>
          <w:p>
            <w:r/>
            <w:r>
              <w:rPr>
                <w:sz w:val="18"/>
              </w:rPr>
              <w:t>Alto Tietê</w:t>
            </w:r>
          </w:p>
        </w:tc>
        <w:tc>
          <w:tcPr>
            <w:tcW w:type="dxa" w:w="1728"/>
          </w:tcPr>
          <w:p>
            <w:r/>
            <w:r>
              <w:rPr>
                <w:color w:val="0CA30C"/>
                <w:sz w:val="18"/>
              </w:rPr>
              <w:t>▼ -0.50 **</w:t>
            </w:r>
          </w:p>
        </w:tc>
        <w:tc>
          <w:tcPr>
            <w:tcW w:type="dxa" w:w="1728"/>
          </w:tcPr>
          <w:p>
            <w:r/>
            <w:r>
              <w:rPr>
                <w:sz w:val="18"/>
              </w:rPr>
              <w:t>0.0000</w:t>
            </w:r>
          </w:p>
        </w:tc>
        <w:tc>
          <w:tcPr>
            <w:tcW w:type="dxa" w:w="1728"/>
          </w:tcPr>
          <w:p>
            <w:r/>
            <w:r>
              <w:rPr>
                <w:sz w:val="18"/>
              </w:rPr>
              <w:t>47</w:t>
            </w:r>
          </w:p>
        </w:tc>
      </w:tr>
      <w:tr>
        <w:tc>
          <w:tcPr>
            <w:tcW w:type="dxa" w:w="1728"/>
          </w:tcPr>
          <w:p>
            <w:r/>
            <w:r>
              <w:rPr>
                <w:sz w:val="18"/>
              </w:rPr>
              <w:t>mercurio_ppm</w:t>
            </w:r>
          </w:p>
        </w:tc>
        <w:tc>
          <w:tcPr>
            <w:tcW w:type="dxa" w:w="1728"/>
          </w:tcPr>
          <w:p>
            <w:r/>
            <w:r>
              <w:rPr>
                <w:sz w:val="18"/>
              </w:rPr>
              <w:t>Médio Tietê</w:t>
            </w:r>
          </w:p>
        </w:tc>
        <w:tc>
          <w:tcPr>
            <w:tcW w:type="dxa" w:w="1728"/>
          </w:tcPr>
          <w:p>
            <w:r/>
            <w:r>
              <w:rPr>
                <w:sz w:val="18"/>
              </w:rPr>
              <w:t>— -0.18</w:t>
            </w:r>
          </w:p>
        </w:tc>
        <w:tc>
          <w:tcPr>
            <w:tcW w:type="dxa" w:w="1728"/>
          </w:tcPr>
          <w:p>
            <w:r/>
            <w:r>
              <w:rPr>
                <w:sz w:val="18"/>
              </w:rPr>
              <w:t>0.0751</w:t>
            </w:r>
          </w:p>
        </w:tc>
        <w:tc>
          <w:tcPr>
            <w:tcW w:type="dxa" w:w="1728"/>
          </w:tcPr>
          <w:p>
            <w:r/>
            <w:r>
              <w:rPr>
                <w:sz w:val="18"/>
              </w:rPr>
              <w:t>47</w:t>
            </w:r>
          </w:p>
        </w:tc>
      </w:tr>
      <w:tr>
        <w:tc>
          <w:tcPr>
            <w:tcW w:type="dxa" w:w="1728"/>
          </w:tcPr>
          <w:p>
            <w:r/>
            <w:r>
              <w:rPr>
                <w:sz w:val="18"/>
              </w:rPr>
              <w:t>mercurio_ppm</w:t>
            </w:r>
          </w:p>
        </w:tc>
        <w:tc>
          <w:tcPr>
            <w:tcW w:type="dxa" w:w="1728"/>
          </w:tcPr>
          <w:p>
            <w:r/>
            <w:r>
              <w:rPr>
                <w:sz w:val="18"/>
              </w:rPr>
              <w:t>Baixo Tietê</w:t>
            </w:r>
          </w:p>
        </w:tc>
        <w:tc>
          <w:tcPr>
            <w:tcW w:type="dxa" w:w="1728"/>
          </w:tcPr>
          <w:p>
            <w:r/>
            <w:r>
              <w:rPr>
                <w:sz w:val="18"/>
              </w:rPr>
              <w:t>— -0.18</w:t>
            </w:r>
          </w:p>
        </w:tc>
        <w:tc>
          <w:tcPr>
            <w:tcW w:type="dxa" w:w="1728"/>
          </w:tcPr>
          <w:p>
            <w:r/>
            <w:r>
              <w:rPr>
                <w:sz w:val="18"/>
              </w:rPr>
              <w:t>0.0819</w:t>
            </w:r>
          </w:p>
        </w:tc>
        <w:tc>
          <w:tcPr>
            <w:tcW w:type="dxa" w:w="1728"/>
          </w:tcPr>
          <w:p>
            <w:r/>
            <w:r>
              <w:rPr>
                <w:sz w:val="18"/>
              </w:rPr>
              <w:t>45</w:t>
            </w:r>
          </w:p>
        </w:tc>
      </w:tr>
      <w:tr>
        <w:tc>
          <w:tcPr>
            <w:tcW w:type="dxa" w:w="1728"/>
          </w:tcPr>
          <w:p>
            <w:r/>
            <w:r>
              <w:rPr>
                <w:sz w:val="18"/>
              </w:rPr>
              <w:t>niquel_ppm</w:t>
            </w:r>
          </w:p>
        </w:tc>
        <w:tc>
          <w:tcPr>
            <w:tcW w:type="dxa" w:w="1728"/>
          </w:tcPr>
          <w:p>
            <w:r/>
            <w:r>
              <w:rPr>
                <w:sz w:val="18"/>
              </w:rPr>
              <w:t>Alto Tietê</w:t>
            </w:r>
          </w:p>
        </w:tc>
        <w:tc>
          <w:tcPr>
            <w:tcW w:type="dxa" w:w="1728"/>
          </w:tcPr>
          <w:p>
            <w:r/>
            <w:r>
              <w:rPr>
                <w:color w:val="0CA30C"/>
                <w:sz w:val="18"/>
              </w:rPr>
              <w:t>▼ -0.54 **</w:t>
            </w:r>
          </w:p>
        </w:tc>
        <w:tc>
          <w:tcPr>
            <w:tcW w:type="dxa" w:w="1728"/>
          </w:tcPr>
          <w:p>
            <w:r/>
            <w:r>
              <w:rPr>
                <w:sz w:val="18"/>
              </w:rPr>
              <w:t>0.0000</w:t>
            </w:r>
          </w:p>
        </w:tc>
        <w:tc>
          <w:tcPr>
            <w:tcW w:type="dxa" w:w="1728"/>
          </w:tcPr>
          <w:p>
            <w:r/>
            <w:r>
              <w:rPr>
                <w:sz w:val="18"/>
              </w:rPr>
              <w:t>47</w:t>
            </w:r>
          </w:p>
        </w:tc>
      </w:tr>
      <w:tr>
        <w:tc>
          <w:tcPr>
            <w:tcW w:type="dxa" w:w="1728"/>
          </w:tcPr>
          <w:p>
            <w:r/>
            <w:r>
              <w:rPr>
                <w:sz w:val="18"/>
              </w:rPr>
              <w:t>niquel_ppm</w:t>
            </w:r>
          </w:p>
        </w:tc>
        <w:tc>
          <w:tcPr>
            <w:tcW w:type="dxa" w:w="1728"/>
          </w:tcPr>
          <w:p>
            <w:r/>
            <w:r>
              <w:rPr>
                <w:sz w:val="18"/>
              </w:rPr>
              <w:t>Médio Tietê</w:t>
            </w:r>
          </w:p>
        </w:tc>
        <w:tc>
          <w:tcPr>
            <w:tcW w:type="dxa" w:w="1728"/>
          </w:tcPr>
          <w:p>
            <w:r/>
            <w:r>
              <w:rPr>
                <w:color w:val="0CA30C"/>
                <w:sz w:val="18"/>
              </w:rPr>
              <w:t>▼ -0.32 **</w:t>
            </w:r>
          </w:p>
        </w:tc>
        <w:tc>
          <w:tcPr>
            <w:tcW w:type="dxa" w:w="1728"/>
          </w:tcPr>
          <w:p>
            <w:r/>
            <w:r>
              <w:rPr>
                <w:sz w:val="18"/>
              </w:rPr>
              <w:t>0.0014</w:t>
            </w:r>
          </w:p>
        </w:tc>
        <w:tc>
          <w:tcPr>
            <w:tcW w:type="dxa" w:w="1728"/>
          </w:tcPr>
          <w:p>
            <w:r/>
            <w:r>
              <w:rPr>
                <w:sz w:val="18"/>
              </w:rPr>
              <w:t>47</w:t>
            </w:r>
          </w:p>
        </w:tc>
      </w:tr>
      <w:tr>
        <w:tc>
          <w:tcPr>
            <w:tcW w:type="dxa" w:w="1728"/>
          </w:tcPr>
          <w:p>
            <w:r/>
            <w:r>
              <w:rPr>
                <w:sz w:val="18"/>
              </w:rPr>
              <w:t>niquel_ppm</w:t>
            </w:r>
          </w:p>
        </w:tc>
        <w:tc>
          <w:tcPr>
            <w:tcW w:type="dxa" w:w="1728"/>
          </w:tcPr>
          <w:p>
            <w:r/>
            <w:r>
              <w:rPr>
                <w:sz w:val="18"/>
              </w:rPr>
              <w:t>Baixo Tietê</w:t>
            </w:r>
          </w:p>
        </w:tc>
        <w:tc>
          <w:tcPr>
            <w:tcW w:type="dxa" w:w="1728"/>
          </w:tcPr>
          <w:p>
            <w:r/>
            <w:r>
              <w:rPr>
                <w:sz w:val="18"/>
              </w:rPr>
              <w:t>— -0.09</w:t>
            </w:r>
          </w:p>
        </w:tc>
        <w:tc>
          <w:tcPr>
            <w:tcW w:type="dxa" w:w="1728"/>
          </w:tcPr>
          <w:p>
            <w:r/>
            <w:r>
              <w:rPr>
                <w:sz w:val="18"/>
              </w:rPr>
              <w:t>0.3873</w:t>
            </w:r>
          </w:p>
        </w:tc>
        <w:tc>
          <w:tcPr>
            <w:tcW w:type="dxa" w:w="1728"/>
          </w:tcPr>
          <w:p>
            <w:r/>
            <w:r>
              <w:rPr>
                <w:sz w:val="18"/>
              </w:rPr>
              <w:t>41</w:t>
            </w:r>
          </w:p>
        </w:tc>
      </w:tr>
      <w:tr>
        <w:tc>
          <w:tcPr>
            <w:tcW w:type="dxa" w:w="1728"/>
          </w:tcPr>
          <w:p>
            <w:r/>
            <w:r>
              <w:rPr>
                <w:sz w:val="18"/>
              </w:rPr>
              <w:t>nitrogenio_amoniacal_mg_l</w:t>
            </w:r>
          </w:p>
        </w:tc>
        <w:tc>
          <w:tcPr>
            <w:tcW w:type="dxa" w:w="1728"/>
          </w:tcPr>
          <w:p>
            <w:r/>
            <w:r>
              <w:rPr>
                <w:sz w:val="18"/>
              </w:rPr>
              <w:t>Alto Tietê</w:t>
            </w:r>
          </w:p>
        </w:tc>
        <w:tc>
          <w:tcPr>
            <w:tcW w:type="dxa" w:w="1728"/>
          </w:tcPr>
          <w:p>
            <w:r/>
            <w:r>
              <w:rPr>
                <w:color w:val="D03B3B"/>
                <w:sz w:val="18"/>
              </w:rPr>
              <w:t>▲ 0.67 **</w:t>
            </w:r>
          </w:p>
        </w:tc>
        <w:tc>
          <w:tcPr>
            <w:tcW w:type="dxa" w:w="1728"/>
          </w:tcPr>
          <w:p>
            <w:r/>
            <w:r>
              <w:rPr>
                <w:sz w:val="18"/>
              </w:rPr>
              <w:t>0.0000</w:t>
            </w:r>
          </w:p>
        </w:tc>
        <w:tc>
          <w:tcPr>
            <w:tcW w:type="dxa" w:w="1728"/>
          </w:tcPr>
          <w:p>
            <w:r/>
            <w:r>
              <w:rPr>
                <w:sz w:val="18"/>
              </w:rPr>
              <w:t>47</w:t>
            </w:r>
          </w:p>
        </w:tc>
      </w:tr>
      <w:tr>
        <w:tc>
          <w:tcPr>
            <w:tcW w:type="dxa" w:w="1728"/>
          </w:tcPr>
          <w:p>
            <w:r/>
            <w:r>
              <w:rPr>
                <w:sz w:val="18"/>
              </w:rPr>
              <w:t>nitrogenio_amoniacal_mg_l</w:t>
            </w:r>
          </w:p>
        </w:tc>
        <w:tc>
          <w:tcPr>
            <w:tcW w:type="dxa" w:w="1728"/>
          </w:tcPr>
          <w:p>
            <w:r/>
            <w:r>
              <w:rPr>
                <w:sz w:val="18"/>
              </w:rPr>
              <w:t>Médio Tietê</w:t>
            </w:r>
          </w:p>
        </w:tc>
        <w:tc>
          <w:tcPr>
            <w:tcW w:type="dxa" w:w="1728"/>
          </w:tcPr>
          <w:p>
            <w:r/>
            <w:r>
              <w:rPr>
                <w:color w:val="D03B3B"/>
                <w:sz w:val="18"/>
              </w:rPr>
              <w:t>▲ 0.75 **</w:t>
            </w:r>
          </w:p>
        </w:tc>
        <w:tc>
          <w:tcPr>
            <w:tcW w:type="dxa" w:w="1728"/>
          </w:tcPr>
          <w:p>
            <w:r/>
            <w:r>
              <w:rPr>
                <w:sz w:val="18"/>
              </w:rPr>
              <w:t>0.0000</w:t>
            </w:r>
          </w:p>
        </w:tc>
        <w:tc>
          <w:tcPr>
            <w:tcW w:type="dxa" w:w="1728"/>
          </w:tcPr>
          <w:p>
            <w:r/>
            <w:r>
              <w:rPr>
                <w:sz w:val="18"/>
              </w:rPr>
              <w:t>47</w:t>
            </w:r>
          </w:p>
        </w:tc>
      </w:tr>
      <w:tr>
        <w:tc>
          <w:tcPr>
            <w:tcW w:type="dxa" w:w="1728"/>
          </w:tcPr>
          <w:p>
            <w:r/>
            <w:r>
              <w:rPr>
                <w:sz w:val="18"/>
              </w:rPr>
              <w:t>nitrogenio_amoniacal_mg_l</w:t>
            </w:r>
          </w:p>
        </w:tc>
        <w:tc>
          <w:tcPr>
            <w:tcW w:type="dxa" w:w="1728"/>
          </w:tcPr>
          <w:p>
            <w:r/>
            <w:r>
              <w:rPr>
                <w:sz w:val="18"/>
              </w:rPr>
              <w:t>Baixo Tietê</w:t>
            </w:r>
          </w:p>
        </w:tc>
        <w:tc>
          <w:tcPr>
            <w:tcW w:type="dxa" w:w="1728"/>
          </w:tcPr>
          <w:p>
            <w:r/>
            <w:r>
              <w:rPr>
                <w:sz w:val="18"/>
              </w:rPr>
              <w:t>— -0.03</w:t>
            </w:r>
          </w:p>
        </w:tc>
        <w:tc>
          <w:tcPr>
            <w:tcW w:type="dxa" w:w="1728"/>
          </w:tcPr>
          <w:p>
            <w:r/>
            <w:r>
              <w:rPr>
                <w:sz w:val="18"/>
              </w:rPr>
              <w:t>0.7551</w:t>
            </w:r>
          </w:p>
        </w:tc>
        <w:tc>
          <w:tcPr>
            <w:tcW w:type="dxa" w:w="1728"/>
          </w:tcPr>
          <w:p>
            <w:r/>
            <w:r>
              <w:rPr>
                <w:sz w:val="18"/>
              </w:rPr>
              <w:t>47</w:t>
            </w:r>
          </w:p>
        </w:tc>
      </w:tr>
      <w:tr>
        <w:tc>
          <w:tcPr>
            <w:tcW w:type="dxa" w:w="1728"/>
          </w:tcPr>
          <w:p>
            <w:r/>
            <w:r>
              <w:rPr>
                <w:sz w:val="18"/>
              </w:rPr>
              <w:t>nitrogenio_nitrato_mg_l</w:t>
            </w:r>
          </w:p>
        </w:tc>
        <w:tc>
          <w:tcPr>
            <w:tcW w:type="dxa" w:w="1728"/>
          </w:tcPr>
          <w:p>
            <w:r/>
            <w:r>
              <w:rPr>
                <w:sz w:val="18"/>
              </w:rPr>
              <w:t>Alto Tietê</w:t>
            </w:r>
          </w:p>
        </w:tc>
        <w:tc>
          <w:tcPr>
            <w:tcW w:type="dxa" w:w="1728"/>
          </w:tcPr>
          <w:p>
            <w:r/>
            <w:r>
              <w:rPr>
                <w:color w:val="0CA30C"/>
                <w:sz w:val="18"/>
              </w:rPr>
              <w:t>▼ -0.25 **</w:t>
            </w:r>
          </w:p>
        </w:tc>
        <w:tc>
          <w:tcPr>
            <w:tcW w:type="dxa" w:w="1728"/>
          </w:tcPr>
          <w:p>
            <w:r/>
            <w:r>
              <w:rPr>
                <w:sz w:val="18"/>
              </w:rPr>
              <w:t>0.0126</w:t>
            </w:r>
          </w:p>
        </w:tc>
        <w:tc>
          <w:tcPr>
            <w:tcW w:type="dxa" w:w="1728"/>
          </w:tcPr>
          <w:p>
            <w:r/>
            <w:r>
              <w:rPr>
                <w:sz w:val="18"/>
              </w:rPr>
              <w:t>47</w:t>
            </w:r>
          </w:p>
        </w:tc>
      </w:tr>
      <w:tr>
        <w:tc>
          <w:tcPr>
            <w:tcW w:type="dxa" w:w="1728"/>
          </w:tcPr>
          <w:p>
            <w:r/>
            <w:r>
              <w:rPr>
                <w:sz w:val="18"/>
              </w:rPr>
              <w:t>nitrogenio_nitrato_mg_l</w:t>
            </w:r>
          </w:p>
        </w:tc>
        <w:tc>
          <w:tcPr>
            <w:tcW w:type="dxa" w:w="1728"/>
          </w:tcPr>
          <w:p>
            <w:r/>
            <w:r>
              <w:rPr>
                <w:sz w:val="18"/>
              </w:rPr>
              <w:t>Médio Tietê</w:t>
            </w:r>
          </w:p>
        </w:tc>
        <w:tc>
          <w:tcPr>
            <w:tcW w:type="dxa" w:w="1728"/>
          </w:tcPr>
          <w:p>
            <w:r/>
            <w:r>
              <w:rPr>
                <w:color w:val="D03B3B"/>
                <w:sz w:val="18"/>
              </w:rPr>
              <w:t>▲ 0.59 **</w:t>
            </w:r>
          </w:p>
        </w:tc>
        <w:tc>
          <w:tcPr>
            <w:tcW w:type="dxa" w:w="1728"/>
          </w:tcPr>
          <w:p>
            <w:r/>
            <w:r>
              <w:rPr>
                <w:sz w:val="18"/>
              </w:rPr>
              <w:t>0.0000</w:t>
            </w:r>
          </w:p>
        </w:tc>
        <w:tc>
          <w:tcPr>
            <w:tcW w:type="dxa" w:w="1728"/>
          </w:tcPr>
          <w:p>
            <w:r/>
            <w:r>
              <w:rPr>
                <w:sz w:val="18"/>
              </w:rPr>
              <w:t>47</w:t>
            </w:r>
          </w:p>
        </w:tc>
      </w:tr>
      <w:tr>
        <w:tc>
          <w:tcPr>
            <w:tcW w:type="dxa" w:w="1728"/>
          </w:tcPr>
          <w:p>
            <w:r/>
            <w:r>
              <w:rPr>
                <w:sz w:val="18"/>
              </w:rPr>
              <w:t>nitrogenio_nitrato_mg_l</w:t>
            </w:r>
          </w:p>
        </w:tc>
        <w:tc>
          <w:tcPr>
            <w:tcW w:type="dxa" w:w="1728"/>
          </w:tcPr>
          <w:p>
            <w:r/>
            <w:r>
              <w:rPr>
                <w:sz w:val="18"/>
              </w:rPr>
              <w:t>Baixo Tietê</w:t>
            </w:r>
          </w:p>
        </w:tc>
        <w:tc>
          <w:tcPr>
            <w:tcW w:type="dxa" w:w="1728"/>
          </w:tcPr>
          <w:p>
            <w:r/>
            <w:r>
              <w:rPr>
                <w:color w:val="D03B3B"/>
                <w:sz w:val="18"/>
              </w:rPr>
              <w:t>▲ 0.34 **</w:t>
            </w:r>
          </w:p>
        </w:tc>
        <w:tc>
          <w:tcPr>
            <w:tcW w:type="dxa" w:w="1728"/>
          </w:tcPr>
          <w:p>
            <w:r/>
            <w:r>
              <w:rPr>
                <w:sz w:val="18"/>
              </w:rPr>
              <w:t>0.0009</w:t>
            </w:r>
          </w:p>
        </w:tc>
        <w:tc>
          <w:tcPr>
            <w:tcW w:type="dxa" w:w="1728"/>
          </w:tcPr>
          <w:p>
            <w:r/>
            <w:r>
              <w:rPr>
                <w:sz w:val="18"/>
              </w:rPr>
              <w:t>47</w:t>
            </w:r>
          </w:p>
        </w:tc>
      </w:tr>
      <w:tr>
        <w:tc>
          <w:tcPr>
            <w:tcW w:type="dxa" w:w="1728"/>
          </w:tcPr>
          <w:p>
            <w:r/>
            <w:r>
              <w:rPr>
                <w:sz w:val="18"/>
              </w:rPr>
              <w:t>od_mg_l</w:t>
            </w:r>
          </w:p>
        </w:tc>
        <w:tc>
          <w:tcPr>
            <w:tcW w:type="dxa" w:w="1728"/>
          </w:tcPr>
          <w:p>
            <w:r/>
            <w:r>
              <w:rPr>
                <w:sz w:val="18"/>
              </w:rPr>
              <w:t>Alto Tietê</w:t>
            </w:r>
          </w:p>
        </w:tc>
        <w:tc>
          <w:tcPr>
            <w:tcW w:type="dxa" w:w="1728"/>
          </w:tcPr>
          <w:p>
            <w:r/>
            <w:r>
              <w:rPr>
                <w:color w:val="D03B3B"/>
                <w:sz w:val="18"/>
              </w:rPr>
              <w:t>▼ -0.62 **</w:t>
            </w:r>
          </w:p>
        </w:tc>
        <w:tc>
          <w:tcPr>
            <w:tcW w:type="dxa" w:w="1728"/>
          </w:tcPr>
          <w:p>
            <w:r/>
            <w:r>
              <w:rPr>
                <w:sz w:val="18"/>
              </w:rPr>
              <w:t>0.0000</w:t>
            </w:r>
          </w:p>
        </w:tc>
        <w:tc>
          <w:tcPr>
            <w:tcW w:type="dxa" w:w="1728"/>
          </w:tcPr>
          <w:p>
            <w:r/>
            <w:r>
              <w:rPr>
                <w:sz w:val="18"/>
              </w:rPr>
              <w:t>47</w:t>
            </w:r>
          </w:p>
        </w:tc>
      </w:tr>
      <w:tr>
        <w:tc>
          <w:tcPr>
            <w:tcW w:type="dxa" w:w="1728"/>
          </w:tcPr>
          <w:p>
            <w:r/>
            <w:r>
              <w:rPr>
                <w:sz w:val="18"/>
              </w:rPr>
              <w:t>od_mg_l</w:t>
            </w:r>
          </w:p>
        </w:tc>
        <w:tc>
          <w:tcPr>
            <w:tcW w:type="dxa" w:w="1728"/>
          </w:tcPr>
          <w:p>
            <w:r/>
            <w:r>
              <w:rPr>
                <w:sz w:val="18"/>
              </w:rPr>
              <w:t>Médio Tietê</w:t>
            </w:r>
          </w:p>
        </w:tc>
        <w:tc>
          <w:tcPr>
            <w:tcW w:type="dxa" w:w="1728"/>
          </w:tcPr>
          <w:p>
            <w:r/>
            <w:r>
              <w:rPr>
                <w:color w:val="D03B3B"/>
                <w:sz w:val="18"/>
              </w:rPr>
              <w:t>▼ -0.44 **</w:t>
            </w:r>
          </w:p>
        </w:tc>
        <w:tc>
          <w:tcPr>
            <w:tcW w:type="dxa" w:w="1728"/>
          </w:tcPr>
          <w:p>
            <w:r/>
            <w:r>
              <w:rPr>
                <w:sz w:val="18"/>
              </w:rPr>
              <w:t>0.0000</w:t>
            </w:r>
          </w:p>
        </w:tc>
        <w:tc>
          <w:tcPr>
            <w:tcW w:type="dxa" w:w="1728"/>
          </w:tcPr>
          <w:p>
            <w:r/>
            <w:r>
              <w:rPr>
                <w:sz w:val="18"/>
              </w:rPr>
              <w:t>47</w:t>
            </w:r>
          </w:p>
        </w:tc>
      </w:tr>
      <w:tr>
        <w:tc>
          <w:tcPr>
            <w:tcW w:type="dxa" w:w="1728"/>
          </w:tcPr>
          <w:p>
            <w:r/>
            <w:r>
              <w:rPr>
                <w:sz w:val="18"/>
              </w:rPr>
              <w:t>od_mg_l</w:t>
            </w:r>
          </w:p>
        </w:tc>
        <w:tc>
          <w:tcPr>
            <w:tcW w:type="dxa" w:w="1728"/>
          </w:tcPr>
          <w:p>
            <w:r/>
            <w:r>
              <w:rPr>
                <w:sz w:val="18"/>
              </w:rPr>
              <w:t>Baixo Tietê</w:t>
            </w:r>
          </w:p>
        </w:tc>
        <w:tc>
          <w:tcPr>
            <w:tcW w:type="dxa" w:w="1728"/>
          </w:tcPr>
          <w:p>
            <w:r/>
            <w:r>
              <w:rPr>
                <w:color w:val="D03B3B"/>
                <w:sz w:val="18"/>
              </w:rPr>
              <w:t>▼ -0.69 **</w:t>
            </w:r>
          </w:p>
        </w:tc>
        <w:tc>
          <w:tcPr>
            <w:tcW w:type="dxa" w:w="1728"/>
          </w:tcPr>
          <w:p>
            <w:r/>
            <w:r>
              <w:rPr>
                <w:sz w:val="18"/>
              </w:rPr>
              <w:t>0.0000</w:t>
            </w:r>
          </w:p>
        </w:tc>
        <w:tc>
          <w:tcPr>
            <w:tcW w:type="dxa" w:w="1728"/>
          </w:tcPr>
          <w:p>
            <w:r/>
            <w:r>
              <w:rPr>
                <w:sz w:val="18"/>
              </w:rPr>
              <w:t>47</w:t>
            </w:r>
          </w:p>
        </w:tc>
      </w:tr>
      <w:tr>
        <w:tc>
          <w:tcPr>
            <w:tcW w:type="dxa" w:w="1728"/>
          </w:tcPr>
          <w:p>
            <w:r/>
            <w:r>
              <w:rPr>
                <w:sz w:val="18"/>
              </w:rPr>
              <w:t>ph</w:t>
            </w:r>
          </w:p>
        </w:tc>
        <w:tc>
          <w:tcPr>
            <w:tcW w:type="dxa" w:w="1728"/>
          </w:tcPr>
          <w:p>
            <w:r/>
            <w:r>
              <w:rPr>
                <w:sz w:val="18"/>
              </w:rPr>
              <w:t>Alto Tietê</w:t>
            </w:r>
          </w:p>
        </w:tc>
        <w:tc>
          <w:tcPr>
            <w:tcW w:type="dxa" w:w="1728"/>
          </w:tcPr>
          <w:p>
            <w:r/>
            <w:r>
              <w:rPr>
                <w:sz w:val="18"/>
              </w:rPr>
              <w:t>▲ 0.58 **</w:t>
            </w:r>
          </w:p>
        </w:tc>
        <w:tc>
          <w:tcPr>
            <w:tcW w:type="dxa" w:w="1728"/>
          </w:tcPr>
          <w:p>
            <w:r/>
            <w:r>
              <w:rPr>
                <w:sz w:val="18"/>
              </w:rPr>
              <w:t>0.0000</w:t>
            </w:r>
          </w:p>
        </w:tc>
        <w:tc>
          <w:tcPr>
            <w:tcW w:type="dxa" w:w="1728"/>
          </w:tcPr>
          <w:p>
            <w:r/>
            <w:r>
              <w:rPr>
                <w:sz w:val="18"/>
              </w:rPr>
              <w:t>47</w:t>
            </w:r>
          </w:p>
        </w:tc>
      </w:tr>
      <w:tr>
        <w:tc>
          <w:tcPr>
            <w:tcW w:type="dxa" w:w="1728"/>
          </w:tcPr>
          <w:p>
            <w:r/>
            <w:r>
              <w:rPr>
                <w:sz w:val="18"/>
              </w:rPr>
              <w:t>ph</w:t>
            </w:r>
          </w:p>
        </w:tc>
        <w:tc>
          <w:tcPr>
            <w:tcW w:type="dxa" w:w="1728"/>
          </w:tcPr>
          <w:p>
            <w:r/>
            <w:r>
              <w:rPr>
                <w:sz w:val="18"/>
              </w:rPr>
              <w:t>Médio Tietê</w:t>
            </w:r>
          </w:p>
        </w:tc>
        <w:tc>
          <w:tcPr>
            <w:tcW w:type="dxa" w:w="1728"/>
          </w:tcPr>
          <w:p>
            <w:r/>
            <w:r>
              <w:rPr>
                <w:sz w:val="18"/>
              </w:rPr>
              <w:t>▲ 0.55 **</w:t>
            </w:r>
          </w:p>
        </w:tc>
        <w:tc>
          <w:tcPr>
            <w:tcW w:type="dxa" w:w="1728"/>
          </w:tcPr>
          <w:p>
            <w:r/>
            <w:r>
              <w:rPr>
                <w:sz w:val="18"/>
              </w:rPr>
              <w:t>0.0000</w:t>
            </w:r>
          </w:p>
        </w:tc>
        <w:tc>
          <w:tcPr>
            <w:tcW w:type="dxa" w:w="1728"/>
          </w:tcPr>
          <w:p>
            <w:r/>
            <w:r>
              <w:rPr>
                <w:sz w:val="18"/>
              </w:rPr>
              <w:t>47</w:t>
            </w:r>
          </w:p>
        </w:tc>
      </w:tr>
      <w:tr>
        <w:tc>
          <w:tcPr>
            <w:tcW w:type="dxa" w:w="1728"/>
          </w:tcPr>
          <w:p>
            <w:r/>
            <w:r>
              <w:rPr>
                <w:sz w:val="18"/>
              </w:rPr>
              <w:t>ph</w:t>
            </w:r>
          </w:p>
        </w:tc>
        <w:tc>
          <w:tcPr>
            <w:tcW w:type="dxa" w:w="1728"/>
          </w:tcPr>
          <w:p>
            <w:r/>
            <w:r>
              <w:rPr>
                <w:sz w:val="18"/>
              </w:rPr>
              <w:t>Baixo Tietê</w:t>
            </w:r>
          </w:p>
        </w:tc>
        <w:tc>
          <w:tcPr>
            <w:tcW w:type="dxa" w:w="1728"/>
          </w:tcPr>
          <w:p>
            <w:r/>
            <w:r>
              <w:rPr>
                <w:sz w:val="18"/>
              </w:rPr>
              <w:t>▲ 0.34 **</w:t>
            </w:r>
          </w:p>
        </w:tc>
        <w:tc>
          <w:tcPr>
            <w:tcW w:type="dxa" w:w="1728"/>
          </w:tcPr>
          <w:p>
            <w:r/>
            <w:r>
              <w:rPr>
                <w:sz w:val="18"/>
              </w:rPr>
              <w:t>0.0008</w:t>
            </w:r>
          </w:p>
        </w:tc>
        <w:tc>
          <w:tcPr>
            <w:tcW w:type="dxa" w:w="1728"/>
          </w:tcPr>
          <w:p>
            <w:r/>
            <w:r>
              <w:rPr>
                <w:sz w:val="18"/>
              </w:rPr>
              <w:t>47</w:t>
            </w:r>
          </w:p>
        </w:tc>
      </w:tr>
      <w:tr>
        <w:tc>
          <w:tcPr>
            <w:tcW w:type="dxa" w:w="1728"/>
          </w:tcPr>
          <w:p>
            <w:r/>
            <w:r>
              <w:rPr>
                <w:sz w:val="18"/>
              </w:rPr>
              <w:t>solido_total_mg_l</w:t>
            </w:r>
          </w:p>
        </w:tc>
        <w:tc>
          <w:tcPr>
            <w:tcW w:type="dxa" w:w="1728"/>
          </w:tcPr>
          <w:p>
            <w:r/>
            <w:r>
              <w:rPr>
                <w:sz w:val="18"/>
              </w:rPr>
              <w:t>Alto Tietê</w:t>
            </w:r>
          </w:p>
        </w:tc>
        <w:tc>
          <w:tcPr>
            <w:tcW w:type="dxa" w:w="1728"/>
          </w:tcPr>
          <w:p>
            <w:r/>
            <w:r>
              <w:rPr>
                <w:color w:val="D03B3B"/>
                <w:sz w:val="18"/>
              </w:rPr>
              <w:t>▲ 0.27 **</w:t>
            </w:r>
          </w:p>
        </w:tc>
        <w:tc>
          <w:tcPr>
            <w:tcW w:type="dxa" w:w="1728"/>
          </w:tcPr>
          <w:p>
            <w:r/>
            <w:r>
              <w:rPr>
                <w:sz w:val="18"/>
              </w:rPr>
              <w:t>0.0070</w:t>
            </w:r>
          </w:p>
        </w:tc>
        <w:tc>
          <w:tcPr>
            <w:tcW w:type="dxa" w:w="1728"/>
          </w:tcPr>
          <w:p>
            <w:r/>
            <w:r>
              <w:rPr>
                <w:sz w:val="18"/>
              </w:rPr>
              <w:t>47</w:t>
            </w:r>
          </w:p>
        </w:tc>
      </w:tr>
      <w:tr>
        <w:tc>
          <w:tcPr>
            <w:tcW w:type="dxa" w:w="1728"/>
          </w:tcPr>
          <w:p>
            <w:r/>
            <w:r>
              <w:rPr>
                <w:sz w:val="18"/>
              </w:rPr>
              <w:t>solido_total_mg_l</w:t>
            </w:r>
          </w:p>
        </w:tc>
        <w:tc>
          <w:tcPr>
            <w:tcW w:type="dxa" w:w="1728"/>
          </w:tcPr>
          <w:p>
            <w:r/>
            <w:r>
              <w:rPr>
                <w:sz w:val="18"/>
              </w:rPr>
              <w:t>Médio Tietê</w:t>
            </w:r>
          </w:p>
        </w:tc>
        <w:tc>
          <w:tcPr>
            <w:tcW w:type="dxa" w:w="1728"/>
          </w:tcPr>
          <w:p>
            <w:r/>
            <w:r>
              <w:rPr>
                <w:color w:val="D03B3B"/>
                <w:sz w:val="18"/>
              </w:rPr>
              <w:t>▲ 0.57 **</w:t>
            </w:r>
          </w:p>
        </w:tc>
        <w:tc>
          <w:tcPr>
            <w:tcW w:type="dxa" w:w="1728"/>
          </w:tcPr>
          <w:p>
            <w:r/>
            <w:r>
              <w:rPr>
                <w:sz w:val="18"/>
              </w:rPr>
              <w:t>0.0000</w:t>
            </w:r>
          </w:p>
        </w:tc>
        <w:tc>
          <w:tcPr>
            <w:tcW w:type="dxa" w:w="1728"/>
          </w:tcPr>
          <w:p>
            <w:r/>
            <w:r>
              <w:rPr>
                <w:sz w:val="18"/>
              </w:rPr>
              <w:t>47</w:t>
            </w:r>
          </w:p>
        </w:tc>
      </w:tr>
      <w:tr>
        <w:tc>
          <w:tcPr>
            <w:tcW w:type="dxa" w:w="1728"/>
          </w:tcPr>
          <w:p>
            <w:r/>
            <w:r>
              <w:rPr>
                <w:sz w:val="18"/>
              </w:rPr>
              <w:t>solido_total_mg_l</w:t>
            </w:r>
          </w:p>
        </w:tc>
        <w:tc>
          <w:tcPr>
            <w:tcW w:type="dxa" w:w="1728"/>
          </w:tcPr>
          <w:p>
            <w:r/>
            <w:r>
              <w:rPr>
                <w:sz w:val="18"/>
              </w:rPr>
              <w:t>Baixo Tietê</w:t>
            </w:r>
          </w:p>
        </w:tc>
        <w:tc>
          <w:tcPr>
            <w:tcW w:type="dxa" w:w="1728"/>
          </w:tcPr>
          <w:p>
            <w:r/>
            <w:r>
              <w:rPr>
                <w:color w:val="D03B3B"/>
                <w:sz w:val="18"/>
              </w:rPr>
              <w:t>▲ 0.60 **</w:t>
            </w:r>
          </w:p>
        </w:tc>
        <w:tc>
          <w:tcPr>
            <w:tcW w:type="dxa" w:w="1728"/>
          </w:tcPr>
          <w:p>
            <w:r/>
            <w:r>
              <w:rPr>
                <w:sz w:val="18"/>
              </w:rPr>
              <w:t>0.0000</w:t>
            </w:r>
          </w:p>
        </w:tc>
        <w:tc>
          <w:tcPr>
            <w:tcW w:type="dxa" w:w="1728"/>
          </w:tcPr>
          <w:p>
            <w:r/>
            <w:r>
              <w:rPr>
                <w:sz w:val="18"/>
              </w:rPr>
              <w:t>47</w:t>
            </w:r>
          </w:p>
        </w:tc>
      </w:tr>
      <w:tr>
        <w:tc>
          <w:tcPr>
            <w:tcW w:type="dxa" w:w="1728"/>
          </w:tcPr>
          <w:p>
            <w:r/>
            <w:r>
              <w:rPr>
                <w:sz w:val="18"/>
              </w:rPr>
              <w:t>temperatura_c</w:t>
            </w:r>
          </w:p>
        </w:tc>
        <w:tc>
          <w:tcPr>
            <w:tcW w:type="dxa" w:w="1728"/>
          </w:tcPr>
          <w:p>
            <w:r/>
            <w:r>
              <w:rPr>
                <w:sz w:val="18"/>
              </w:rPr>
              <w:t>Alto Tietê</w:t>
            </w:r>
          </w:p>
        </w:tc>
        <w:tc>
          <w:tcPr>
            <w:tcW w:type="dxa" w:w="1728"/>
          </w:tcPr>
          <w:p>
            <w:r/>
            <w:r>
              <w:rPr>
                <w:sz w:val="18"/>
              </w:rPr>
              <w:t>▲ 0.41 **</w:t>
            </w:r>
          </w:p>
        </w:tc>
        <w:tc>
          <w:tcPr>
            <w:tcW w:type="dxa" w:w="1728"/>
          </w:tcPr>
          <w:p>
            <w:r/>
            <w:r>
              <w:rPr>
                <w:sz w:val="18"/>
              </w:rPr>
              <w:t>0.0001</w:t>
            </w:r>
          </w:p>
        </w:tc>
        <w:tc>
          <w:tcPr>
            <w:tcW w:type="dxa" w:w="1728"/>
          </w:tcPr>
          <w:p>
            <w:r/>
            <w:r>
              <w:rPr>
                <w:sz w:val="18"/>
              </w:rPr>
              <w:t>47</w:t>
            </w:r>
          </w:p>
        </w:tc>
      </w:tr>
      <w:tr>
        <w:tc>
          <w:tcPr>
            <w:tcW w:type="dxa" w:w="1728"/>
          </w:tcPr>
          <w:p>
            <w:r/>
            <w:r>
              <w:rPr>
                <w:sz w:val="18"/>
              </w:rPr>
              <w:t>temperatura_c</w:t>
            </w:r>
          </w:p>
        </w:tc>
        <w:tc>
          <w:tcPr>
            <w:tcW w:type="dxa" w:w="1728"/>
          </w:tcPr>
          <w:p>
            <w:r/>
            <w:r>
              <w:rPr>
                <w:sz w:val="18"/>
              </w:rPr>
              <w:t>Médio Tietê</w:t>
            </w:r>
          </w:p>
        </w:tc>
        <w:tc>
          <w:tcPr>
            <w:tcW w:type="dxa" w:w="1728"/>
          </w:tcPr>
          <w:p>
            <w:r/>
            <w:r>
              <w:rPr>
                <w:sz w:val="18"/>
              </w:rPr>
              <w:t>▲ 0.26 **</w:t>
            </w:r>
          </w:p>
        </w:tc>
        <w:tc>
          <w:tcPr>
            <w:tcW w:type="dxa" w:w="1728"/>
          </w:tcPr>
          <w:p>
            <w:r/>
            <w:r>
              <w:rPr>
                <w:sz w:val="18"/>
              </w:rPr>
              <w:t>0.0111</w:t>
            </w:r>
          </w:p>
        </w:tc>
        <w:tc>
          <w:tcPr>
            <w:tcW w:type="dxa" w:w="1728"/>
          </w:tcPr>
          <w:p>
            <w:r/>
            <w:r>
              <w:rPr>
                <w:sz w:val="18"/>
              </w:rPr>
              <w:t>47</w:t>
            </w:r>
          </w:p>
        </w:tc>
      </w:tr>
      <w:tr>
        <w:tc>
          <w:tcPr>
            <w:tcW w:type="dxa" w:w="1728"/>
          </w:tcPr>
          <w:p>
            <w:r/>
            <w:r>
              <w:rPr>
                <w:sz w:val="18"/>
              </w:rPr>
              <w:t>temperatura_c</w:t>
            </w:r>
          </w:p>
        </w:tc>
        <w:tc>
          <w:tcPr>
            <w:tcW w:type="dxa" w:w="1728"/>
          </w:tcPr>
          <w:p>
            <w:r/>
            <w:r>
              <w:rPr>
                <w:sz w:val="18"/>
              </w:rPr>
              <w:t>Baixo Tietê</w:t>
            </w:r>
          </w:p>
        </w:tc>
        <w:tc>
          <w:tcPr>
            <w:tcW w:type="dxa" w:w="1728"/>
          </w:tcPr>
          <w:p>
            <w:r/>
            <w:r>
              <w:rPr>
                <w:sz w:val="18"/>
              </w:rPr>
              <w:t>— 0.15</w:t>
            </w:r>
          </w:p>
        </w:tc>
        <w:tc>
          <w:tcPr>
            <w:tcW w:type="dxa" w:w="1728"/>
          </w:tcPr>
          <w:p>
            <w:r/>
            <w:r>
              <w:rPr>
                <w:sz w:val="18"/>
              </w:rPr>
              <w:t>0.1299</w:t>
            </w:r>
          </w:p>
        </w:tc>
        <w:tc>
          <w:tcPr>
            <w:tcW w:type="dxa" w:w="1728"/>
          </w:tcPr>
          <w:p>
            <w:r/>
            <w:r>
              <w:rPr>
                <w:sz w:val="18"/>
              </w:rPr>
              <w:t>47</w:t>
            </w:r>
          </w:p>
        </w:tc>
      </w:tr>
      <w:tr>
        <w:tc>
          <w:tcPr>
            <w:tcW w:type="dxa" w:w="1728"/>
          </w:tcPr>
          <w:p>
            <w:r/>
            <w:r>
              <w:rPr>
                <w:sz w:val="18"/>
              </w:rPr>
              <w:t>turbidez_ntu</w:t>
            </w:r>
          </w:p>
        </w:tc>
        <w:tc>
          <w:tcPr>
            <w:tcW w:type="dxa" w:w="1728"/>
          </w:tcPr>
          <w:p>
            <w:r/>
            <w:r>
              <w:rPr>
                <w:sz w:val="18"/>
              </w:rPr>
              <w:t>Alto Tietê</w:t>
            </w:r>
          </w:p>
        </w:tc>
        <w:tc>
          <w:tcPr>
            <w:tcW w:type="dxa" w:w="1728"/>
          </w:tcPr>
          <w:p>
            <w:r/>
            <w:r>
              <w:rPr>
                <w:sz w:val="18"/>
              </w:rPr>
              <w:t>— -0.07</w:t>
            </w:r>
          </w:p>
        </w:tc>
        <w:tc>
          <w:tcPr>
            <w:tcW w:type="dxa" w:w="1728"/>
          </w:tcPr>
          <w:p>
            <w:r/>
            <w:r>
              <w:rPr>
                <w:sz w:val="18"/>
              </w:rPr>
              <w:t>0.4974</w:t>
            </w:r>
          </w:p>
        </w:tc>
        <w:tc>
          <w:tcPr>
            <w:tcW w:type="dxa" w:w="1728"/>
          </w:tcPr>
          <w:p>
            <w:r/>
            <w:r>
              <w:rPr>
                <w:sz w:val="18"/>
              </w:rPr>
              <w:t>47</w:t>
            </w:r>
          </w:p>
        </w:tc>
      </w:tr>
      <w:tr>
        <w:tc>
          <w:tcPr>
            <w:tcW w:type="dxa" w:w="1728"/>
          </w:tcPr>
          <w:p>
            <w:r/>
            <w:r>
              <w:rPr>
                <w:sz w:val="18"/>
              </w:rPr>
              <w:t>turbidez_ntu</w:t>
            </w:r>
          </w:p>
        </w:tc>
        <w:tc>
          <w:tcPr>
            <w:tcW w:type="dxa" w:w="1728"/>
          </w:tcPr>
          <w:p>
            <w:r/>
            <w:r>
              <w:rPr>
                <w:sz w:val="18"/>
              </w:rPr>
              <w:t>Médio Tietê</w:t>
            </w:r>
          </w:p>
        </w:tc>
        <w:tc>
          <w:tcPr>
            <w:tcW w:type="dxa" w:w="1728"/>
          </w:tcPr>
          <w:p>
            <w:r/>
            <w:r>
              <w:rPr>
                <w:color w:val="D03B3B"/>
                <w:sz w:val="18"/>
              </w:rPr>
              <w:t>▲ 0.28 **</w:t>
            </w:r>
          </w:p>
        </w:tc>
        <w:tc>
          <w:tcPr>
            <w:tcW w:type="dxa" w:w="1728"/>
          </w:tcPr>
          <w:p>
            <w:r/>
            <w:r>
              <w:rPr>
                <w:sz w:val="18"/>
              </w:rPr>
              <w:t>0.0050</w:t>
            </w:r>
          </w:p>
        </w:tc>
        <w:tc>
          <w:tcPr>
            <w:tcW w:type="dxa" w:w="1728"/>
          </w:tcPr>
          <w:p>
            <w:r/>
            <w:r>
              <w:rPr>
                <w:sz w:val="18"/>
              </w:rPr>
              <w:t>47</w:t>
            </w:r>
          </w:p>
        </w:tc>
      </w:tr>
      <w:tr>
        <w:tc>
          <w:tcPr>
            <w:tcW w:type="dxa" w:w="1728"/>
          </w:tcPr>
          <w:p>
            <w:r/>
            <w:r>
              <w:rPr>
                <w:sz w:val="18"/>
              </w:rPr>
              <w:t>turbidez_ntu</w:t>
            </w:r>
          </w:p>
        </w:tc>
        <w:tc>
          <w:tcPr>
            <w:tcW w:type="dxa" w:w="1728"/>
          </w:tcPr>
          <w:p>
            <w:r/>
            <w:r>
              <w:rPr>
                <w:sz w:val="18"/>
              </w:rPr>
              <w:t>Baixo Tietê</w:t>
            </w:r>
          </w:p>
        </w:tc>
        <w:tc>
          <w:tcPr>
            <w:tcW w:type="dxa" w:w="1728"/>
          </w:tcPr>
          <w:p>
            <w:r/>
            <w:r>
              <w:rPr>
                <w:sz w:val="18"/>
              </w:rPr>
              <w:t>— -0.08</w:t>
            </w:r>
          </w:p>
        </w:tc>
        <w:tc>
          <w:tcPr>
            <w:tcW w:type="dxa" w:w="1728"/>
          </w:tcPr>
          <w:p>
            <w:r/>
            <w:r>
              <w:rPr>
                <w:sz w:val="18"/>
              </w:rPr>
              <w:t>0.4303</w:t>
            </w:r>
          </w:p>
        </w:tc>
        <w:tc>
          <w:tcPr>
            <w:tcW w:type="dxa" w:w="1728"/>
          </w:tcPr>
          <w:p>
            <w:r/>
            <w:r>
              <w:rPr>
                <w:sz w:val="18"/>
              </w:rPr>
              <w:t>47</w:t>
            </w:r>
          </w:p>
        </w:tc>
      </w:tr>
      <w:tr>
        <w:tc>
          <w:tcPr>
            <w:tcW w:type="dxa" w:w="1728"/>
          </w:tcPr>
          <w:p>
            <w:r/>
            <w:r>
              <w:rPr>
                <w:sz w:val="18"/>
              </w:rPr>
              <w:t>zinco_ppm</w:t>
            </w:r>
          </w:p>
        </w:tc>
        <w:tc>
          <w:tcPr>
            <w:tcW w:type="dxa" w:w="1728"/>
          </w:tcPr>
          <w:p>
            <w:r/>
            <w:r>
              <w:rPr>
                <w:sz w:val="18"/>
              </w:rPr>
              <w:t>Alto Tietê</w:t>
            </w:r>
          </w:p>
        </w:tc>
        <w:tc>
          <w:tcPr>
            <w:tcW w:type="dxa" w:w="1728"/>
          </w:tcPr>
          <w:p>
            <w:r/>
            <w:r>
              <w:rPr>
                <w:sz w:val="18"/>
              </w:rPr>
              <w:t>— -0.17</w:t>
            </w:r>
          </w:p>
        </w:tc>
        <w:tc>
          <w:tcPr>
            <w:tcW w:type="dxa" w:w="1728"/>
          </w:tcPr>
          <w:p>
            <w:r/>
            <w:r>
              <w:rPr>
                <w:sz w:val="18"/>
              </w:rPr>
              <w:t>0.0988</w:t>
            </w:r>
          </w:p>
        </w:tc>
        <w:tc>
          <w:tcPr>
            <w:tcW w:type="dxa" w:w="1728"/>
          </w:tcPr>
          <w:p>
            <w:r/>
            <w:r>
              <w:rPr>
                <w:sz w:val="18"/>
              </w:rPr>
              <w:t>47</w:t>
            </w:r>
          </w:p>
        </w:tc>
      </w:tr>
      <w:tr>
        <w:tc>
          <w:tcPr>
            <w:tcW w:type="dxa" w:w="1728"/>
          </w:tcPr>
          <w:p>
            <w:r/>
            <w:r>
              <w:rPr>
                <w:sz w:val="18"/>
              </w:rPr>
              <w:t>zinco_ppm</w:t>
            </w:r>
          </w:p>
        </w:tc>
        <w:tc>
          <w:tcPr>
            <w:tcW w:type="dxa" w:w="1728"/>
          </w:tcPr>
          <w:p>
            <w:r/>
            <w:r>
              <w:rPr>
                <w:sz w:val="18"/>
              </w:rPr>
              <w:t>Médio Tietê</w:t>
            </w:r>
          </w:p>
        </w:tc>
        <w:tc>
          <w:tcPr>
            <w:tcW w:type="dxa" w:w="1728"/>
          </w:tcPr>
          <w:p>
            <w:r/>
            <w:r>
              <w:rPr>
                <w:sz w:val="18"/>
              </w:rPr>
              <w:t>— 0.05</w:t>
            </w:r>
          </w:p>
        </w:tc>
        <w:tc>
          <w:tcPr>
            <w:tcW w:type="dxa" w:w="1728"/>
          </w:tcPr>
          <w:p>
            <w:r/>
            <w:r>
              <w:rPr>
                <w:sz w:val="18"/>
              </w:rPr>
              <w:t>0.6076</w:t>
            </w:r>
          </w:p>
        </w:tc>
        <w:tc>
          <w:tcPr>
            <w:tcW w:type="dxa" w:w="1728"/>
          </w:tcPr>
          <w:p>
            <w:r/>
            <w:r>
              <w:rPr>
                <w:sz w:val="18"/>
              </w:rPr>
              <w:t>47</w:t>
            </w:r>
          </w:p>
        </w:tc>
      </w:tr>
      <w:tr>
        <w:tc>
          <w:tcPr>
            <w:tcW w:type="dxa" w:w="1728"/>
          </w:tcPr>
          <w:p>
            <w:r/>
            <w:r>
              <w:rPr>
                <w:sz w:val="18"/>
              </w:rPr>
              <w:t>zinco_ppm</w:t>
            </w:r>
          </w:p>
        </w:tc>
        <w:tc>
          <w:tcPr>
            <w:tcW w:type="dxa" w:w="1728"/>
          </w:tcPr>
          <w:p>
            <w:r/>
            <w:r>
              <w:rPr>
                <w:sz w:val="18"/>
              </w:rPr>
              <w:t>Baixo Tietê</w:t>
            </w:r>
          </w:p>
        </w:tc>
        <w:tc>
          <w:tcPr>
            <w:tcW w:type="dxa" w:w="1728"/>
          </w:tcPr>
          <w:p>
            <w:r/>
            <w:r>
              <w:rPr>
                <w:sz w:val="18"/>
              </w:rPr>
              <w:t>— -0.08</w:t>
            </w:r>
          </w:p>
        </w:tc>
        <w:tc>
          <w:tcPr>
            <w:tcW w:type="dxa" w:w="1728"/>
          </w:tcPr>
          <w:p>
            <w:r/>
            <w:r>
              <w:rPr>
                <w:sz w:val="18"/>
              </w:rPr>
              <w:t>0.4298</w:t>
            </w:r>
          </w:p>
        </w:tc>
        <w:tc>
          <w:tcPr>
            <w:tcW w:type="dxa" w:w="1728"/>
          </w:tcPr>
          <w:p>
            <w:r/>
            <w:r>
              <w:rPr>
                <w:sz w:val="18"/>
              </w:rPr>
              <w:t>44</w:t>
            </w:r>
          </w:p>
        </w:tc>
      </w:tr>
    </w:tbl>
    <w:p>
      <w:r>
        <w:t>** = significativo a 5% (p&lt;0,05). Cor e seta codificam o</w:t>
        <w:br/>
      </w:r>
      <w:r>
        <w:rPr>
          <w:i/>
        </w:rPr>
        <w:t>significado</w:t>
      </w:r>
      <w:r>
        <w:t xml:space="preserve"> da tendência, não só a direção: </w:t>
      </w:r>
      <w:r>
        <w:rPr>
          <w:b/>
          <w:color w:val="D03B3B"/>
        </w:rPr>
        <w:t>▲/▼ vermelho = degradação</w:t>
      </w:r>
      <w:r>
        <w:br/>
        <w:t xml:space="preserve">(poluente subindo, ou OD caindo), </w:t>
      </w:r>
      <w:r>
        <w:rPr>
          <w:b/>
          <w:color w:val="0CA30C"/>
        </w:rPr>
        <w:t>▲/▼ verde = melhora</w:t>
      </w:r>
      <w:r>
        <w:t xml:space="preserve"> (poluente caindo, ou OD</w:t>
        <w:br/>
        <w:t xml:space="preserve">subindo), </w:t>
      </w:r>
      <w:r>
        <w:rPr>
          <w:color w:val="6B6F68"/>
        </w:rPr>
        <w:t>cinza = sem tendência significativa</w:t>
      </w:r>
      <w:r>
        <w:t>, ou pH/Temperatura (sem leitura</w:t>
        <w:br/>
        <w:t>boa/ruim única).</w:t>
      </w:r>
    </w:p>
    <w:p>
      <w:r>
        <w:br w:type="page"/>
      </w:r>
    </w:p>
    <w:p>
      <w:pPr>
        <w:pStyle w:val="Heading1"/>
      </w:pPr>
      <w:r>
        <w:t>12 — Decomposição de séries temporais (tendência, sazonalidade, resíduo)</w:t>
      </w:r>
    </w:p>
    <w:p>
      <w:r>
        <w:t>Decomposição aditiva clássica (</w:t>
      </w:r>
      <w:r>
        <w:rPr>
          <w:rFonts w:ascii="Consolas" w:hAnsi="Consolas"/>
          <w:color w:val="2A78D6"/>
          <w:sz w:val="19"/>
        </w:rPr>
        <w:t>statsmodels.seasonal_decompose</w:t>
      </w:r>
      <w:r>
        <w:t>, período 12 meses) da</w:t>
        <w:br/>
        <w:t>série mensal de vazão por trecho — separa o sinal em tendência de longo prazo, ciclo sazonal e resíduo</w:t>
        <w:br/>
        <w:t>não-explicado.</w:t>
      </w:r>
    </w:p>
    <w:p>
      <w:pPr>
        <w:jc w:val="center"/>
      </w:pPr>
      <w:r>
        <w:drawing>
          <wp:inline xmlns:a="http://schemas.openxmlformats.org/drawingml/2006/main" xmlns:pic="http://schemas.openxmlformats.org/drawingml/2006/picture">
            <wp:extent cx="5580000" cy="4204703"/>
            <wp:docPr id="15" name="Picture 15"/>
            <wp:cNvGraphicFramePr>
              <a:graphicFrameLocks noChangeAspect="1"/>
            </wp:cNvGraphicFramePr>
            <a:graphic>
              <a:graphicData uri="http://schemas.openxmlformats.org/drawingml/2006/picture">
                <pic:pic>
                  <pic:nvPicPr>
                    <pic:cNvPr id="0" name="decomp_vazao_alto_tiete.png"/>
                    <pic:cNvPicPr/>
                  </pic:nvPicPr>
                  <pic:blipFill>
                    <a:blip r:embed="rId23"/>
                    <a:stretch>
                      <a:fillRect/>
                    </a:stretch>
                  </pic:blipFill>
                  <pic:spPr>
                    <a:xfrm>
                      <a:off x="0" y="0"/>
                      <a:ext cx="5580000" cy="4204703"/>
                    </a:xfrm>
                    <a:prstGeom prst="rect"/>
                  </pic:spPr>
                </pic:pic>
              </a:graphicData>
            </a:graphic>
          </wp:inline>
        </w:drawing>
      </w:r>
    </w:p>
    <w:p>
      <w:pPr>
        <w:jc w:val="center"/>
      </w:pPr>
      <w:r>
        <w:rPr>
          <w:i/>
          <w:color w:val="6B6F68"/>
          <w:sz w:val="18"/>
        </w:rPr>
        <w:t>Alto Tietê.</w:t>
      </w:r>
    </w:p>
    <w:p>
      <w:pPr>
        <w:jc w:val="center"/>
      </w:pPr>
      <w:r>
        <w:drawing>
          <wp:inline xmlns:a="http://schemas.openxmlformats.org/drawingml/2006/main" xmlns:pic="http://schemas.openxmlformats.org/drawingml/2006/picture">
            <wp:extent cx="5580000" cy="4216615"/>
            <wp:docPr id="16" name="Picture 16"/>
            <wp:cNvGraphicFramePr>
              <a:graphicFrameLocks noChangeAspect="1"/>
            </wp:cNvGraphicFramePr>
            <a:graphic>
              <a:graphicData uri="http://schemas.openxmlformats.org/drawingml/2006/picture">
                <pic:pic>
                  <pic:nvPicPr>
                    <pic:cNvPr id="0" name="decomp_vazao_medio_tiete.png"/>
                    <pic:cNvPicPr/>
                  </pic:nvPicPr>
                  <pic:blipFill>
                    <a:blip r:embed="rId24"/>
                    <a:stretch>
                      <a:fillRect/>
                    </a:stretch>
                  </pic:blipFill>
                  <pic:spPr>
                    <a:xfrm>
                      <a:off x="0" y="0"/>
                      <a:ext cx="5580000" cy="4216615"/>
                    </a:xfrm>
                    <a:prstGeom prst="rect"/>
                  </pic:spPr>
                </pic:pic>
              </a:graphicData>
            </a:graphic>
          </wp:inline>
        </w:drawing>
      </w:r>
    </w:p>
    <w:p>
      <w:pPr>
        <w:jc w:val="center"/>
      </w:pPr>
      <w:r>
        <w:rPr>
          <w:i/>
          <w:color w:val="6B6F68"/>
          <w:sz w:val="18"/>
        </w:rPr>
        <w:t>Médio Tietê.</w:t>
      </w:r>
    </w:p>
    <w:p>
      <w:pPr>
        <w:jc w:val="center"/>
      </w:pPr>
      <w:r>
        <w:drawing>
          <wp:inline xmlns:a="http://schemas.openxmlformats.org/drawingml/2006/main" xmlns:pic="http://schemas.openxmlformats.org/drawingml/2006/picture">
            <wp:extent cx="5580000" cy="4207675"/>
            <wp:docPr id="17" name="Picture 17"/>
            <wp:cNvGraphicFramePr>
              <a:graphicFrameLocks noChangeAspect="1"/>
            </wp:cNvGraphicFramePr>
            <a:graphic>
              <a:graphicData uri="http://schemas.openxmlformats.org/drawingml/2006/picture">
                <pic:pic>
                  <pic:nvPicPr>
                    <pic:cNvPr id="0" name="decomp_vazao_baixo_tiete.png"/>
                    <pic:cNvPicPr/>
                  </pic:nvPicPr>
                  <pic:blipFill>
                    <a:blip r:embed="rId25"/>
                    <a:stretch>
                      <a:fillRect/>
                    </a:stretch>
                  </pic:blipFill>
                  <pic:spPr>
                    <a:xfrm>
                      <a:off x="0" y="0"/>
                      <a:ext cx="5580000" cy="4207675"/>
                    </a:xfrm>
                    <a:prstGeom prst="rect"/>
                  </pic:spPr>
                </pic:pic>
              </a:graphicData>
            </a:graphic>
          </wp:inline>
        </w:drawing>
      </w:r>
    </w:p>
    <w:p>
      <w:pPr>
        <w:jc w:val="center"/>
      </w:pPr>
      <w:r>
        <w:rPr>
          <w:i/>
          <w:color w:val="6B6F68"/>
          <w:sz w:val="18"/>
        </w:rPr>
        <w:t>Baixo Tietê.</w:t>
      </w:r>
    </w:p>
    <w:tbl>
      <w:tblPr>
        <w:tblW w:type="auto" w:w="0"/>
        <w:tblLook w:firstColumn="1" w:firstRow="1" w:lastColumn="0" w:lastRow="0" w:noHBand="0" w:noVBand="1" w:val="04A0"/>
      </w:tblPr>
      <w:tblGrid>
        <w:gridCol w:w="2880"/>
        <w:gridCol w:w="2880"/>
        <w:gridCol w:w="2880"/>
      </w:tblGrid>
      <w:tr>
        <w:tc>
          <w:tcPr>
            <w:tcW w:type="dxa" w:w="2880"/>
            <w:shd w:fill="F2F1EE"/>
          </w:tcPr>
          <w:p>
            <w:r/>
            <w:r>
              <w:rPr>
                <w:b/>
                <w:color w:val="6B6F68"/>
                <w:sz w:val="15"/>
              </w:rPr>
              <w:t>Força sazonal — Médio Tietê</w:t>
            </w:r>
          </w:p>
          <w:p>
            <w:r>
              <w:rPr>
                <w:b/>
                <w:sz w:val="30"/>
              </w:rPr>
              <w:t>0,82</w:t>
            </w:r>
          </w:p>
          <w:p>
            <w:r>
              <w:rPr>
                <w:color w:val="6B6F68"/>
                <w:sz w:val="15"/>
              </w:rPr>
              <w:t>sazonalidade domina o sinal</w:t>
            </w:r>
          </w:p>
        </w:tc>
        <w:tc>
          <w:tcPr>
            <w:tcW w:type="dxa" w:w="2880"/>
            <w:shd w:fill="F2F1EE"/>
          </w:tcPr>
          <w:p>
            <w:r/>
            <w:r>
              <w:rPr>
                <w:b/>
                <w:color w:val="6B6F68"/>
                <w:sz w:val="15"/>
              </w:rPr>
              <w:t>Força sazonal — Alto Tietê</w:t>
            </w:r>
          </w:p>
          <w:p>
            <w:r>
              <w:rPr>
                <w:b/>
                <w:sz w:val="30"/>
              </w:rPr>
              <w:t>0,09</w:t>
            </w:r>
          </w:p>
          <w:p>
            <w:r>
              <w:rPr>
                <w:color w:val="6B6F68"/>
                <w:sz w:val="15"/>
              </w:rPr>
              <w:t>sazonalidade fraca</w:t>
            </w:r>
          </w:p>
        </w:tc>
        <w:tc>
          <w:tcPr>
            <w:tcW w:type="dxa" w:w="2880"/>
            <w:shd w:fill="F2F1EE"/>
          </w:tcPr>
          <w:p>
            <w:r/>
            <w:r>
              <w:rPr>
                <w:b/>
                <w:color w:val="6B6F68"/>
                <w:sz w:val="15"/>
              </w:rPr>
              <w:t>Força sazonal — Baixo Tietê</w:t>
            </w:r>
          </w:p>
          <w:p>
            <w:r>
              <w:rPr>
                <w:b/>
                <w:sz w:val="30"/>
              </w:rPr>
              <w:t>0,08</w:t>
            </w:r>
          </w:p>
          <w:p>
            <w:r>
              <w:rPr>
                <w:color w:val="6B6F68"/>
                <w:sz w:val="15"/>
              </w:rPr>
              <w:t>sazonalidade fraca</w:t>
            </w:r>
          </w:p>
        </w:tc>
      </w:tr>
    </w:tbl>
    <w:p/>
    <w:p>
      <w:r>
        <w:t>A "força sazonal" (1 − variância do resíduo / variância do resíduo+sazonalidade) confirma numericamente o que</w:t>
        <w:br/>
        <w:t>a Seção 9 já sugeria: o Médio Tietê tem regime hidrológico dominado pelo ciclo chuvoso/seco natural (0,82 — muito</w:t>
        <w:br/>
        <w:t>próximo de 1, sazonalidade quase determinística), enquanto Alto e Baixo Tietê têm sazonalidade fraca (~0,08-0,09),</w:t>
        <w:br/>
        <w:t>compatível com forte regularização por reservatórios e/ou operação de barragens que amortece o pulso natural de</w:t>
        <w:br/>
        <w:t>cheias e estiagens.</w:t>
      </w:r>
    </w:p>
    <w:p>
      <w:r>
        <w:br w:type="page"/>
      </w:r>
    </w:p>
    <w:p>
      <w:pPr>
        <w:pStyle w:val="Heading1"/>
      </w:pPr>
      <w:r>
        <w:t>13 — Análise hidrológica avançada</w:t>
      </w:r>
    </w:p>
    <w:p>
      <w:pPr>
        <w:pStyle w:val="Heading3"/>
      </w:pPr>
      <w:r>
        <w:t>13.1 — Curvas de permanência (Flow Duration Curves)</w:t>
      </w:r>
    </w:p>
    <w:p>
      <w:r>
        <w:t>Probabilidade de excedência da vazão, por trecho — ferramenta clássica de outorga e dimensionamento hídrico.</w:t>
      </w:r>
    </w:p>
    <w:p>
      <w:pPr>
        <w:jc w:val="center"/>
      </w:pPr>
      <w:r>
        <w:drawing>
          <wp:inline xmlns:a="http://schemas.openxmlformats.org/drawingml/2006/main" xmlns:pic="http://schemas.openxmlformats.org/drawingml/2006/picture">
            <wp:extent cx="5580000" cy="4050895"/>
            <wp:docPr id="18" name="Picture 18"/>
            <wp:cNvGraphicFramePr>
              <a:graphicFrameLocks noChangeAspect="1"/>
            </wp:cNvGraphicFramePr>
            <a:graphic>
              <a:graphicData uri="http://schemas.openxmlformats.org/drawingml/2006/picture">
                <pic:pic>
                  <pic:nvPicPr>
                    <pic:cNvPr id="0" name="flow_duration_curve.png"/>
                    <pic:cNvPicPr/>
                  </pic:nvPicPr>
                  <pic:blipFill>
                    <a:blip r:embed="rId26"/>
                    <a:stretch>
                      <a:fillRect/>
                    </a:stretch>
                  </pic:blipFill>
                  <pic:spPr>
                    <a:xfrm>
                      <a:off x="0" y="0"/>
                      <a:ext cx="5580000" cy="4050895"/>
                    </a:xfrm>
                    <a:prstGeom prst="rect"/>
                  </pic:spPr>
                </pic:pic>
              </a:graphicData>
            </a:graphic>
          </wp:inline>
        </w:drawing>
      </w:r>
    </w:p>
    <w:p>
      <w:pPr>
        <w:jc w:val="center"/>
      </w:pPr>
      <w:r>
        <w:rPr>
          <w:i/>
          <w:color w:val="6B6F68"/>
          <w:sz w:val="18"/>
        </w:rPr>
        <w:t>Curva de permanência — vazão por trecho (escala 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7"/>
              </w:rPr>
              <w:t>Trecho</w:t>
            </w:r>
          </w:p>
        </w:tc>
        <w:tc>
          <w:tcPr>
            <w:tcW w:type="dxa" w:w="2160"/>
          </w:tcPr>
          <w:p>
            <w:r/>
            <w:r>
              <w:rPr>
                <w:b/>
                <w:sz w:val="17"/>
              </w:rPr>
              <w:t>Q10 (m³/s)</w:t>
            </w:r>
          </w:p>
        </w:tc>
        <w:tc>
          <w:tcPr>
            <w:tcW w:type="dxa" w:w="2160"/>
          </w:tcPr>
          <w:p>
            <w:r/>
            <w:r>
              <w:rPr>
                <w:b/>
                <w:sz w:val="17"/>
              </w:rPr>
              <w:t>Q50 — mediana (m³/s)</w:t>
            </w:r>
          </w:p>
        </w:tc>
        <w:tc>
          <w:tcPr>
            <w:tcW w:type="dxa" w:w="2160"/>
          </w:tcPr>
          <w:p>
            <w:r/>
            <w:r>
              <w:rPr>
                <w:b/>
                <w:sz w:val="17"/>
              </w:rPr>
              <w:t>Q90 (m³/s)</w:t>
            </w:r>
          </w:p>
        </w:tc>
      </w:tr>
      <w:tr>
        <w:tc>
          <w:tcPr>
            <w:tcW w:type="dxa" w:w="2160"/>
          </w:tcPr>
          <w:p>
            <w:r/>
            <w:r>
              <w:rPr>
                <w:sz w:val="18"/>
              </w:rPr>
              <w:t>Alto Tietê</w:t>
            </w:r>
          </w:p>
        </w:tc>
        <w:tc>
          <w:tcPr>
            <w:tcW w:type="dxa" w:w="2160"/>
          </w:tcPr>
          <w:p>
            <w:r/>
            <w:r>
              <w:rPr>
                <w:sz w:val="18"/>
              </w:rPr>
              <w:t>21,78</w:t>
            </w:r>
          </w:p>
        </w:tc>
        <w:tc>
          <w:tcPr>
            <w:tcW w:type="dxa" w:w="2160"/>
          </w:tcPr>
          <w:p>
            <w:r/>
            <w:r>
              <w:rPr>
                <w:sz w:val="18"/>
              </w:rPr>
              <w:t>2,56</w:t>
            </w:r>
          </w:p>
        </w:tc>
        <w:tc>
          <w:tcPr>
            <w:tcW w:type="dxa" w:w="2160"/>
          </w:tcPr>
          <w:p>
            <w:r/>
            <w:r>
              <w:rPr>
                <w:sz w:val="18"/>
              </w:rPr>
              <w:t>0,55</w:t>
            </w:r>
          </w:p>
        </w:tc>
      </w:tr>
      <w:tr>
        <w:tc>
          <w:tcPr>
            <w:tcW w:type="dxa" w:w="2160"/>
          </w:tcPr>
          <w:p>
            <w:r/>
            <w:r>
              <w:rPr>
                <w:sz w:val="18"/>
              </w:rPr>
              <w:t>Médio Tietê</w:t>
            </w:r>
          </w:p>
        </w:tc>
        <w:tc>
          <w:tcPr>
            <w:tcW w:type="dxa" w:w="2160"/>
          </w:tcPr>
          <w:p>
            <w:r/>
            <w:r>
              <w:rPr>
                <w:sz w:val="18"/>
              </w:rPr>
              <w:t>790,10</w:t>
            </w:r>
          </w:p>
        </w:tc>
        <w:tc>
          <w:tcPr>
            <w:tcW w:type="dxa" w:w="2160"/>
          </w:tcPr>
          <w:p>
            <w:r/>
            <w:r>
              <w:rPr>
                <w:sz w:val="18"/>
              </w:rPr>
              <w:t>342,80</w:t>
            </w:r>
          </w:p>
        </w:tc>
        <w:tc>
          <w:tcPr>
            <w:tcW w:type="dxa" w:w="2160"/>
          </w:tcPr>
          <w:p>
            <w:r/>
            <w:r>
              <w:rPr>
                <w:sz w:val="18"/>
              </w:rPr>
              <w:t>50,98</w:t>
            </w:r>
          </w:p>
        </w:tc>
      </w:tr>
      <w:tr>
        <w:tc>
          <w:tcPr>
            <w:tcW w:type="dxa" w:w="2160"/>
          </w:tcPr>
          <w:p>
            <w:r/>
            <w:r>
              <w:rPr>
                <w:sz w:val="18"/>
              </w:rPr>
              <w:t>Baixo Tietê</w:t>
            </w:r>
          </w:p>
        </w:tc>
        <w:tc>
          <w:tcPr>
            <w:tcW w:type="dxa" w:w="2160"/>
          </w:tcPr>
          <w:p>
            <w:r/>
            <w:r>
              <w:rPr>
                <w:sz w:val="18"/>
              </w:rPr>
              <w:t>825,85</w:t>
            </w:r>
          </w:p>
        </w:tc>
        <w:tc>
          <w:tcPr>
            <w:tcW w:type="dxa" w:w="2160"/>
          </w:tcPr>
          <w:p>
            <w:r/>
            <w:r>
              <w:rPr>
                <w:sz w:val="18"/>
              </w:rPr>
              <w:t>4,37</w:t>
            </w:r>
          </w:p>
        </w:tc>
        <w:tc>
          <w:tcPr>
            <w:tcW w:type="dxa" w:w="2160"/>
          </w:tcPr>
          <w:p>
            <w:r/>
            <w:r>
              <w:rPr>
                <w:sz w:val="18"/>
              </w:rPr>
              <w:t>0,37</w:t>
            </w:r>
          </w:p>
        </w:tc>
      </w:tr>
    </w:tbl>
    <w:p>
      <w:r>
        <w:t>O Médio Tietê tem a curva mais "suave" (Q10/Q90 ≈ 15,5×) — regime regularizado e com contribuição de múltiplos</w:t>
        <w:br/>
        <w:t>afluentes. O Baixo Tietê exibe uma razão Q10/Q90 extrema (~2.230×) e uma mediana desproporcionalmente baixa frente</w:t>
        <w:br/>
        <w:t>ao Q10 — mais um sintoma da mesma limitação já discutida: só 2 pontos de monitoramento no trecho, e (ver 13.2)</w:t>
        <w:br/>
        <w:t>possível heterogeneidade entre estações ao longo do tempo.</w:t>
      </w:r>
    </w:p>
    <w:p>
      <w:pPr>
        <w:pStyle w:val="Heading3"/>
      </w:pPr>
      <w:r>
        <w:t>13.2 — Curva de dupla massa (consistência das séries)</w:t>
      </w:r>
    </w:p>
    <w:p>
      <w:r>
        <w:t>Chuva acumulada de um posto de referência vs. chuva acumulada média da rede do mesmo trecho — uma linha reta</w:t>
        <w:br/>
        <w:t>indica série consistente; quebras de inclinação indicam mudança de instrumento, relocação de posto ou erro de</w:t>
        <w:br/>
        <w:t>digitação/unidade.</w:t>
      </w:r>
    </w:p>
    <w:p>
      <w:pPr>
        <w:jc w:val="center"/>
      </w:pPr>
      <w:r>
        <w:drawing>
          <wp:inline xmlns:a="http://schemas.openxmlformats.org/drawingml/2006/main" xmlns:pic="http://schemas.openxmlformats.org/drawingml/2006/picture">
            <wp:extent cx="5580000" cy="1823034"/>
            <wp:docPr id="19" name="Picture 19"/>
            <wp:cNvGraphicFramePr>
              <a:graphicFrameLocks noChangeAspect="1"/>
            </wp:cNvGraphicFramePr>
            <a:graphic>
              <a:graphicData uri="http://schemas.openxmlformats.org/drawingml/2006/picture">
                <pic:pic>
                  <pic:nvPicPr>
                    <pic:cNvPr id="0" name="curva_dupla_massa.png"/>
                    <pic:cNvPicPr/>
                  </pic:nvPicPr>
                  <pic:blipFill>
                    <a:blip r:embed="rId27"/>
                    <a:stretch>
                      <a:fillRect/>
                    </a:stretch>
                  </pic:blipFill>
                  <pic:spPr>
                    <a:xfrm>
                      <a:off x="0" y="0"/>
                      <a:ext cx="5580000" cy="1823034"/>
                    </a:xfrm>
                    <a:prstGeom prst="rect"/>
                  </pic:spPr>
                </pic:pic>
              </a:graphicData>
            </a:graphic>
          </wp:inline>
        </w:drawing>
      </w:r>
    </w:p>
    <w:p>
      <w:pPr>
        <w:jc w:val="center"/>
      </w:pPr>
      <w:r>
        <w:rPr>
          <w:i/>
          <w:color w:val="6B6F68"/>
          <w:sz w:val="18"/>
        </w:rPr>
        <w:t>Curva de dupla massa por trecho (postos ANA-SNIRH de referência).</w:t>
      </w:r>
    </w:p>
    <w:tbl>
      <w:tblPr>
        <w:tblW w:type="auto" w:w="0"/>
        <w:tblLook w:firstColumn="1" w:firstRow="1" w:lastColumn="0" w:lastRow="0" w:noHBand="0" w:noVBand="1" w:val="04A0"/>
      </w:tblPr>
      <w:tblGrid>
        <w:gridCol w:w="2880"/>
        <w:gridCol w:w="2880"/>
        <w:gridCol w:w="2880"/>
      </w:tblGrid>
      <w:tr>
        <w:tc>
          <w:tcPr>
            <w:tcW w:type="dxa" w:w="2880"/>
            <w:shd w:fill="F2F1EE"/>
          </w:tcPr>
          <w:p>
            <w:r/>
            <w:r>
              <w:rPr>
                <w:b/>
                <w:color w:val="6B6F68"/>
                <w:sz w:val="15"/>
              </w:rPr>
              <w:t>Alto Tietê (Salesópolis)</w:t>
            </w:r>
          </w:p>
          <w:p>
            <w:r>
              <w:rPr>
                <w:b/>
                <w:sz w:val="30"/>
              </w:rPr>
              <w:t>R²=0,9996</w:t>
            </w:r>
          </w:p>
          <w:p>
            <w:r>
              <w:rPr>
                <w:color w:val="6B6F68"/>
                <w:sz w:val="15"/>
              </w:rPr>
              <w:t>série altamente consistente</w:t>
            </w:r>
          </w:p>
        </w:tc>
        <w:tc>
          <w:tcPr>
            <w:tcW w:type="dxa" w:w="2880"/>
            <w:shd w:fill="F2F1EE"/>
          </w:tcPr>
          <w:p>
            <w:r/>
            <w:r>
              <w:rPr>
                <w:b/>
                <w:color w:val="6B6F68"/>
                <w:sz w:val="15"/>
              </w:rPr>
              <w:t>Médio Tietê (Fazenda Sta. Jacinta)</w:t>
            </w:r>
          </w:p>
          <w:p>
            <w:r>
              <w:rPr>
                <w:b/>
                <w:sz w:val="30"/>
              </w:rPr>
              <w:t>R²=0,9864</w:t>
            </w:r>
          </w:p>
          <w:p>
            <w:r>
              <w:rPr>
                <w:color w:val="6B6F68"/>
                <w:sz w:val="15"/>
              </w:rPr>
              <w:t>consistente</w:t>
            </w:r>
          </w:p>
        </w:tc>
        <w:tc>
          <w:tcPr>
            <w:tcW w:type="dxa" w:w="2880"/>
            <w:shd w:fill="F2F1EE"/>
          </w:tcPr>
          <w:p>
            <w:r/>
            <w:r>
              <w:rPr>
                <w:b/>
                <w:color w:val="6B6F68"/>
                <w:sz w:val="15"/>
              </w:rPr>
              <w:t>Baixo Tietê (Itapura)</w:t>
            </w:r>
          </w:p>
          <w:p>
            <w:r>
              <w:rPr>
                <w:b/>
                <w:sz w:val="30"/>
              </w:rPr>
              <w:t>R²=0,9846</w:t>
            </w:r>
          </w:p>
          <w:p>
            <w:r>
              <w:rPr>
                <w:color w:val="6B6F68"/>
                <w:sz w:val="15"/>
              </w:rPr>
              <w:t>consistente</w:t>
            </w:r>
          </w:p>
        </w:tc>
      </w:tr>
    </w:tbl>
    <w:p/>
    <w:p>
      <w:r>
        <w:t>As três séries pluviométricas de referência não mostram quebras relevantes de consistência (R² &gt; 0,98 em</w:t>
        <w:br/>
        <w:t>todas). Isso descarta erro grosseiro de digitação/unidade na chuva como explicação para a curva de permanência</w:t>
        <w:br/>
        <w:t xml:space="preserve">estranha do Baixo Tietê (13.1) — o problema ali está mais provavelmente na </w:t>
      </w:r>
      <w:r>
        <w:rPr>
          <w:b/>
        </w:rPr>
        <w:t>vazão</w:t>
      </w:r>
      <w:r>
        <w:t xml:space="preserve"> (poucos postos,</w:t>
        <w:br/>
        <w:t>possível heterogeneidade entre estações trocadas ao longo de quase 100 anos), não na chuva.</w:t>
      </w:r>
    </w:p>
    <w:p>
      <w:pPr>
        <w:pStyle w:val="Heading3"/>
      </w:pPr>
      <w:r>
        <w:t>13.3 — Percentis de vazão por década</w:t>
      </w:r>
    </w:p>
    <w:p>
      <w:pPr>
        <w:jc w:val="center"/>
      </w:pPr>
      <w:r>
        <w:drawing>
          <wp:inline xmlns:a="http://schemas.openxmlformats.org/drawingml/2006/main" xmlns:pic="http://schemas.openxmlformats.org/drawingml/2006/picture">
            <wp:extent cx="5580000" cy="1822151"/>
            <wp:docPr id="20" name="Picture 20"/>
            <wp:cNvGraphicFramePr>
              <a:graphicFrameLocks noChangeAspect="1"/>
            </wp:cNvGraphicFramePr>
            <a:graphic>
              <a:graphicData uri="http://schemas.openxmlformats.org/drawingml/2006/picture">
                <pic:pic>
                  <pic:nvPicPr>
                    <pic:cNvPr id="0" name="percentis_vazao_decada.png"/>
                    <pic:cNvPicPr/>
                  </pic:nvPicPr>
                  <pic:blipFill>
                    <a:blip r:embed="rId28"/>
                    <a:stretch>
                      <a:fillRect/>
                    </a:stretch>
                  </pic:blipFill>
                  <pic:spPr>
                    <a:xfrm>
                      <a:off x="0" y="0"/>
                      <a:ext cx="5580000" cy="1822151"/>
                    </a:xfrm>
                    <a:prstGeom prst="rect"/>
                  </pic:spPr>
                </pic:pic>
              </a:graphicData>
            </a:graphic>
          </wp:inline>
        </w:drawing>
      </w:r>
    </w:p>
    <w:p>
      <w:pPr>
        <w:jc w:val="center"/>
      </w:pPr>
      <w:r>
        <w:rPr>
          <w:i/>
          <w:color w:val="6B6F68"/>
          <w:sz w:val="18"/>
        </w:rPr>
        <w:t>P10 / P50 / P90 da vazão por década, por trecho.</w:t>
      </w:r>
    </w:p>
    <w:tbl>
      <w:tblPr>
        <w:tblW w:type="auto" w:w="0"/>
        <w:tblLook w:firstColumn="1" w:firstRow="1" w:lastColumn="0" w:lastRow="0" w:noHBand="0" w:noVBand="1" w:val="04A0"/>
      </w:tblPr>
      <w:tblGrid>
        <w:gridCol w:w="8640"/>
      </w:tblGrid>
      <w:tr>
        <w:tc>
          <w:tcPr>
            <w:tcW w:type="dxa" w:w="8640"/>
            <w:shd w:fill="EAF1FB"/>
          </w:tcPr>
          <w:p>
            <w:r/>
            <w:r>
              <w:rPr>
                <w:b/>
                <w:color w:val="2A78D6"/>
                <w:sz w:val="17"/>
              </w:rPr>
              <w:t>ALERTA DE QUALIDADE DE DADO</w:t>
            </w:r>
          </w:p>
          <w:p>
            <w:r>
              <w:rPr>
                <w:sz w:val="19"/>
              </w:rPr>
              <w:t>O Baixo Tietê mostra oscilações de mediana entre décadas fisicamente implausíveis para um rio real sem</w:t>
              <w:br/>
              <w:t>mudança de regime conhecida (ex.: mediana cai de ~661 m³/s nos anos 1930 para ~1,1-1,4 m³/s nos anos 1980-1990, e</w:t>
              <w:br/>
              <w:t xml:space="preserve">volta a ~528 m³/s nos anos 2000) — indício forte de </w:t>
            </w:r>
            <w:r>
              <w:rPr>
                <w:b/>
                <w:sz w:val="19"/>
              </w:rPr>
              <w:t>heterogeneidade entre estações de medição</w:t>
            </w:r>
            <w:r>
              <w:rPr>
                <w:sz w:val="19"/>
              </w:rPr>
              <w:br/>
              <w:t>ao longo do tempo (postos diferentes, com áreas de drenagem muito diferentes, entrando e saindo do registro</w:t>
              <w:br/>
              <w:t>histórico), não de uma variação hidrológica real. Recomendamos tratar os valores absolutos de vazão do Baixo</w:t>
              <w:br/>
              <w:t>Tietê anteriores a 2000 com cautela adicional em qualquer análise que dependa de magnitude (ex.: balanço hídrico),</w:t>
              <w:br/>
              <w:t>e investigar a proveniência posto-a-posto antes de uso em decisão operacional.</w:t>
            </w:r>
          </w:p>
        </w:tc>
      </w:tr>
    </w:tbl>
    <w:p/>
    <w:p>
      <w:r>
        <w:br w:type="page"/>
      </w:r>
    </w:p>
    <w:p>
      <w:pPr>
        <w:pStyle w:val="Heading1"/>
      </w:pPr>
      <w:r>
        <w:t>14 — Detecção de anomalias: Z-score e IQR</w:t>
      </w:r>
    </w:p>
    <w:p>
      <w:r>
        <w:t>Duas convenções complementares aplicadas aos 13 parâmetros CETESB (nível de evento de coleta) e à</w:t>
        <w:br/>
        <w:t>hidrologia real: Z-score (|Z|&gt;3, outliers extremos, sensível a caudas mas pouco robusto em distribuições</w:t>
        <w:br/>
        <w:t>assimétricas) e IQR (1,5×IQR, outliers moderados, mais robusto a assimetria — por isso captura mais pontos que o</w:t>
        <w:br/>
        <w:t>Z-score em variáveis de cauda longa).</w:t>
      </w:r>
    </w:p>
    <w:p>
      <w:pPr>
        <w:jc w:val="center"/>
      </w:pPr>
      <w:r>
        <w:drawing>
          <wp:inline xmlns:a="http://schemas.openxmlformats.org/drawingml/2006/main" xmlns:pic="http://schemas.openxmlformats.org/drawingml/2006/picture">
            <wp:extent cx="5580000" cy="1750418"/>
            <wp:docPr id="21" name="Picture 21"/>
            <wp:cNvGraphicFramePr>
              <a:graphicFrameLocks noChangeAspect="1"/>
            </wp:cNvGraphicFramePr>
            <a:graphic>
              <a:graphicData uri="http://schemas.openxmlformats.org/drawingml/2006/picture">
                <pic:pic>
                  <pic:nvPicPr>
                    <pic:cNvPr id="0" name="anomalias_zscore_exemplos.png"/>
                    <pic:cNvPicPr/>
                  </pic:nvPicPr>
                  <pic:blipFill>
                    <a:blip r:embed="rId29"/>
                    <a:stretch>
                      <a:fillRect/>
                    </a:stretch>
                  </pic:blipFill>
                  <pic:spPr>
                    <a:xfrm>
                      <a:off x="0" y="0"/>
                      <a:ext cx="5580000" cy="1750418"/>
                    </a:xfrm>
                    <a:prstGeom prst="rect"/>
                  </pic:spPr>
                </pic:pic>
              </a:graphicData>
            </a:graphic>
          </wp:inline>
        </w:drawing>
      </w:r>
    </w:p>
    <w:p>
      <w:pPr>
        <w:jc w:val="center"/>
      </w:pPr>
      <w:r>
        <w:rPr>
          <w:i/>
          <w:color w:val="6B6F68"/>
          <w:sz w:val="18"/>
        </w:rPr>
        <w:t>Exemplos de outliers por Z-score (DBO, Mercúrio, Coliformes).</w:t>
      </w:r>
    </w:p>
    <w:p>
      <w:pPr>
        <w:jc w:val="center"/>
      </w:pPr>
      <w:r>
        <w:drawing>
          <wp:inline xmlns:a="http://schemas.openxmlformats.org/drawingml/2006/main" xmlns:pic="http://schemas.openxmlformats.org/drawingml/2006/picture">
            <wp:extent cx="5580000" cy="3853631"/>
            <wp:docPr id="22" name="Picture 22"/>
            <wp:cNvGraphicFramePr>
              <a:graphicFrameLocks noChangeAspect="1"/>
            </wp:cNvGraphicFramePr>
            <a:graphic>
              <a:graphicData uri="http://schemas.openxmlformats.org/drawingml/2006/picture">
                <pic:pic>
                  <pic:nvPicPr>
                    <pic:cNvPr id="0" name="anomalias_iqr_vazao.png"/>
                    <pic:cNvPicPr/>
                  </pic:nvPicPr>
                  <pic:blipFill>
                    <a:blip r:embed="rId30"/>
                    <a:stretch>
                      <a:fillRect/>
                    </a:stretch>
                  </pic:blipFill>
                  <pic:spPr>
                    <a:xfrm>
                      <a:off x="0" y="0"/>
                      <a:ext cx="5580000" cy="3853631"/>
                    </a:xfrm>
                    <a:prstGeom prst="rect"/>
                  </pic:spPr>
                </pic:pic>
              </a:graphicData>
            </a:graphic>
          </wp:inline>
        </w:drawing>
      </w:r>
    </w:p>
    <w:p>
      <w:pPr>
        <w:jc w:val="center"/>
      </w:pPr>
      <w:r>
        <w:rPr>
          <w:i/>
          <w:color w:val="6B6F68"/>
          <w:sz w:val="18"/>
        </w:rPr>
        <w:t>Outliers IQR na vazão anual, por trecho.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7"/>
              </w:rPr>
              <w:t>Variável</w:t>
            </w:r>
          </w:p>
        </w:tc>
        <w:tc>
          <w:tcPr>
            <w:tcW w:type="dxa" w:w="2160"/>
          </w:tcPr>
          <w:p>
            <w:r/>
            <w:r>
              <w:rPr>
                <w:b/>
                <w:sz w:val="17"/>
              </w:rPr>
              <w:t>n</w:t>
            </w:r>
          </w:p>
        </w:tc>
        <w:tc>
          <w:tcPr>
            <w:tcW w:type="dxa" w:w="2160"/>
          </w:tcPr>
          <w:p>
            <w:r/>
            <w:r>
              <w:rPr>
                <w:b/>
                <w:sz w:val="17"/>
              </w:rPr>
              <w:t>Outliers Z-score (|Z|&gt;3)</w:t>
            </w:r>
          </w:p>
        </w:tc>
        <w:tc>
          <w:tcPr>
            <w:tcW w:type="dxa" w:w="2160"/>
          </w:tcPr>
          <w:p>
            <w:r/>
            <w:r>
              <w:rPr>
                <w:b/>
                <w:sz w:val="17"/>
              </w:rPr>
              <w:t>Outliers IQR (1,5×)</w:t>
            </w:r>
          </w:p>
        </w:tc>
      </w:tr>
      <w:tr>
        <w:tc>
          <w:tcPr>
            <w:tcW w:type="dxa" w:w="2160"/>
          </w:tcPr>
          <w:p>
            <w:r/>
            <w:r>
              <w:rPr>
                <w:sz w:val="18"/>
              </w:rPr>
              <w:t>temperatura_c</w:t>
            </w:r>
          </w:p>
        </w:tc>
        <w:tc>
          <w:tcPr>
            <w:tcW w:type="dxa" w:w="2160"/>
          </w:tcPr>
          <w:p>
            <w:r/>
            <w:r>
              <w:rPr>
                <w:sz w:val="18"/>
              </w:rPr>
              <w:t>4246</w:t>
            </w:r>
          </w:p>
        </w:tc>
        <w:tc>
          <w:tcPr>
            <w:tcW w:type="dxa" w:w="2160"/>
          </w:tcPr>
          <w:p>
            <w:r/>
            <w:r>
              <w:rPr>
                <w:sz w:val="18"/>
              </w:rPr>
              <w:t>2 (0.05%)</w:t>
            </w:r>
          </w:p>
        </w:tc>
        <w:tc>
          <w:tcPr>
            <w:tcW w:type="dxa" w:w="2160"/>
          </w:tcPr>
          <w:p>
            <w:r/>
            <w:r>
              <w:rPr>
                <w:sz w:val="18"/>
              </w:rPr>
              <w:t>2 (0.05%)</w:t>
            </w:r>
          </w:p>
        </w:tc>
      </w:tr>
      <w:tr>
        <w:tc>
          <w:tcPr>
            <w:tcW w:type="dxa" w:w="2160"/>
          </w:tcPr>
          <w:p>
            <w:r/>
            <w:r>
              <w:rPr>
                <w:sz w:val="18"/>
              </w:rPr>
              <w:t>ph</w:t>
            </w:r>
          </w:p>
        </w:tc>
        <w:tc>
          <w:tcPr>
            <w:tcW w:type="dxa" w:w="2160"/>
          </w:tcPr>
          <w:p>
            <w:r/>
            <w:r>
              <w:rPr>
                <w:sz w:val="18"/>
              </w:rPr>
              <w:t>4209</w:t>
            </w:r>
          </w:p>
        </w:tc>
        <w:tc>
          <w:tcPr>
            <w:tcW w:type="dxa" w:w="2160"/>
          </w:tcPr>
          <w:p>
            <w:r/>
            <w:r>
              <w:rPr>
                <w:sz w:val="18"/>
              </w:rPr>
              <w:t>61 (1.45%)</w:t>
            </w:r>
          </w:p>
        </w:tc>
        <w:tc>
          <w:tcPr>
            <w:tcW w:type="dxa" w:w="2160"/>
          </w:tcPr>
          <w:p>
            <w:r/>
            <w:r>
              <w:rPr>
                <w:sz w:val="18"/>
              </w:rPr>
              <w:t>147 (3.49%)</w:t>
            </w:r>
          </w:p>
        </w:tc>
      </w:tr>
      <w:tr>
        <w:tc>
          <w:tcPr>
            <w:tcW w:type="dxa" w:w="2160"/>
          </w:tcPr>
          <w:p>
            <w:r/>
            <w:r>
              <w:rPr>
                <w:sz w:val="18"/>
              </w:rPr>
              <w:t>solido_total_mg_l</w:t>
            </w:r>
          </w:p>
        </w:tc>
        <w:tc>
          <w:tcPr>
            <w:tcW w:type="dxa" w:w="2160"/>
          </w:tcPr>
          <w:p>
            <w:r/>
            <w:r>
              <w:rPr>
                <w:sz w:val="18"/>
              </w:rPr>
              <w:t>4200</w:t>
            </w:r>
          </w:p>
        </w:tc>
        <w:tc>
          <w:tcPr>
            <w:tcW w:type="dxa" w:w="2160"/>
          </w:tcPr>
          <w:p>
            <w:r/>
            <w:r>
              <w:rPr>
                <w:sz w:val="18"/>
              </w:rPr>
              <w:t>21 (0.50%)</w:t>
            </w:r>
          </w:p>
        </w:tc>
        <w:tc>
          <w:tcPr>
            <w:tcW w:type="dxa" w:w="2160"/>
          </w:tcPr>
          <w:p>
            <w:r/>
            <w:r>
              <w:rPr>
                <w:sz w:val="18"/>
              </w:rPr>
              <w:t>68 (1.62%)</w:t>
            </w:r>
          </w:p>
        </w:tc>
      </w:tr>
      <w:tr>
        <w:tc>
          <w:tcPr>
            <w:tcW w:type="dxa" w:w="2160"/>
          </w:tcPr>
          <w:p>
            <w:r/>
            <w:r>
              <w:rPr>
                <w:sz w:val="18"/>
              </w:rPr>
              <w:t>turbidez_ntu</w:t>
            </w:r>
          </w:p>
        </w:tc>
        <w:tc>
          <w:tcPr>
            <w:tcW w:type="dxa" w:w="2160"/>
          </w:tcPr>
          <w:p>
            <w:r/>
            <w:r>
              <w:rPr>
                <w:sz w:val="18"/>
              </w:rPr>
              <w:t>4176</w:t>
            </w:r>
          </w:p>
        </w:tc>
        <w:tc>
          <w:tcPr>
            <w:tcW w:type="dxa" w:w="2160"/>
          </w:tcPr>
          <w:p>
            <w:r/>
            <w:r>
              <w:rPr>
                <w:sz w:val="18"/>
              </w:rPr>
              <w:t>69 (1.65%)</w:t>
            </w:r>
          </w:p>
        </w:tc>
        <w:tc>
          <w:tcPr>
            <w:tcW w:type="dxa" w:w="2160"/>
          </w:tcPr>
          <w:p>
            <w:r/>
            <w:r>
              <w:rPr>
                <w:sz w:val="18"/>
              </w:rPr>
              <w:t>344 (8.24%)</w:t>
            </w:r>
          </w:p>
        </w:tc>
      </w:tr>
      <w:tr>
        <w:tc>
          <w:tcPr>
            <w:tcW w:type="dxa" w:w="2160"/>
          </w:tcPr>
          <w:p>
            <w:r/>
            <w:r>
              <w:rPr>
                <w:sz w:val="18"/>
              </w:rPr>
              <w:t>fosforo_total_mg_l</w:t>
            </w:r>
          </w:p>
        </w:tc>
        <w:tc>
          <w:tcPr>
            <w:tcW w:type="dxa" w:w="2160"/>
          </w:tcPr>
          <w:p>
            <w:r/>
            <w:r>
              <w:rPr>
                <w:sz w:val="18"/>
              </w:rPr>
              <w:t>4170</w:t>
            </w:r>
          </w:p>
        </w:tc>
        <w:tc>
          <w:tcPr>
            <w:tcW w:type="dxa" w:w="2160"/>
          </w:tcPr>
          <w:p>
            <w:r/>
            <w:r>
              <w:rPr>
                <w:sz w:val="18"/>
              </w:rPr>
              <w:t>2 (0.05%)</w:t>
            </w:r>
          </w:p>
        </w:tc>
        <w:tc>
          <w:tcPr>
            <w:tcW w:type="dxa" w:w="2160"/>
          </w:tcPr>
          <w:p>
            <w:r/>
            <w:r>
              <w:rPr>
                <w:sz w:val="18"/>
              </w:rPr>
              <w:t>275 (6.59%)</w:t>
            </w:r>
          </w:p>
        </w:tc>
      </w:tr>
      <w:tr>
        <w:tc>
          <w:tcPr>
            <w:tcW w:type="dxa" w:w="2160"/>
          </w:tcPr>
          <w:p>
            <w:r/>
            <w:r>
              <w:rPr>
                <w:sz w:val="18"/>
              </w:rPr>
              <w:t>nitrogenio_nitrato_mg_l</w:t>
            </w:r>
          </w:p>
        </w:tc>
        <w:tc>
          <w:tcPr>
            <w:tcW w:type="dxa" w:w="2160"/>
          </w:tcPr>
          <w:p>
            <w:r/>
            <w:r>
              <w:rPr>
                <w:sz w:val="18"/>
              </w:rPr>
              <w:t>4102</w:t>
            </w:r>
          </w:p>
        </w:tc>
        <w:tc>
          <w:tcPr>
            <w:tcW w:type="dxa" w:w="2160"/>
          </w:tcPr>
          <w:p>
            <w:r/>
            <w:r>
              <w:rPr>
                <w:sz w:val="18"/>
              </w:rPr>
              <w:t>40 (0.98%)</w:t>
            </w:r>
          </w:p>
        </w:tc>
        <w:tc>
          <w:tcPr>
            <w:tcW w:type="dxa" w:w="2160"/>
          </w:tcPr>
          <w:p>
            <w:r/>
            <w:r>
              <w:rPr>
                <w:sz w:val="18"/>
              </w:rPr>
              <w:t>425 (10.36%)</w:t>
            </w:r>
          </w:p>
        </w:tc>
      </w:tr>
      <w:tr>
        <w:tc>
          <w:tcPr>
            <w:tcW w:type="dxa" w:w="2160"/>
          </w:tcPr>
          <w:p>
            <w:r/>
            <w:r>
              <w:rPr>
                <w:sz w:val="18"/>
              </w:rPr>
              <w:t>nitrogenio_amoniacal_mg_l</w:t>
            </w:r>
          </w:p>
        </w:tc>
        <w:tc>
          <w:tcPr>
            <w:tcW w:type="dxa" w:w="2160"/>
          </w:tcPr>
          <w:p>
            <w:r/>
            <w:r>
              <w:rPr>
                <w:sz w:val="18"/>
              </w:rPr>
              <w:t>4100</w:t>
            </w:r>
          </w:p>
        </w:tc>
        <w:tc>
          <w:tcPr>
            <w:tcW w:type="dxa" w:w="2160"/>
          </w:tcPr>
          <w:p>
            <w:r/>
            <w:r>
              <w:rPr>
                <w:sz w:val="18"/>
              </w:rPr>
              <w:t>66 (1.61%)</w:t>
            </w:r>
          </w:p>
        </w:tc>
        <w:tc>
          <w:tcPr>
            <w:tcW w:type="dxa" w:w="2160"/>
          </w:tcPr>
          <w:p>
            <w:r/>
            <w:r>
              <w:rPr>
                <w:sz w:val="18"/>
              </w:rPr>
              <w:t>161 (3.93%)</w:t>
            </w:r>
          </w:p>
        </w:tc>
      </w:tr>
      <w:tr>
        <w:tc>
          <w:tcPr>
            <w:tcW w:type="dxa" w:w="2160"/>
          </w:tcPr>
          <w:p>
            <w:r/>
            <w:r>
              <w:rPr>
                <w:sz w:val="18"/>
              </w:rPr>
              <w:t>od_mg_l</w:t>
            </w:r>
          </w:p>
        </w:tc>
        <w:tc>
          <w:tcPr>
            <w:tcW w:type="dxa" w:w="2160"/>
          </w:tcPr>
          <w:p>
            <w:r/>
            <w:r>
              <w:rPr>
                <w:sz w:val="18"/>
              </w:rPr>
              <w:t>3999</w:t>
            </w:r>
          </w:p>
        </w:tc>
        <w:tc>
          <w:tcPr>
            <w:tcW w:type="dxa" w:w="2160"/>
          </w:tcPr>
          <w:p>
            <w:r/>
            <w:r>
              <w:rPr>
                <w:sz w:val="18"/>
              </w:rPr>
              <w:t>9 (0.23%)</w:t>
            </w:r>
          </w:p>
        </w:tc>
        <w:tc>
          <w:tcPr>
            <w:tcW w:type="dxa" w:w="2160"/>
          </w:tcPr>
          <w:p>
            <w:r/>
            <w:r>
              <w:rPr>
                <w:sz w:val="18"/>
              </w:rPr>
              <w:t>4 (0.10%)</w:t>
            </w:r>
          </w:p>
        </w:tc>
      </w:tr>
      <w:tr>
        <w:tc>
          <w:tcPr>
            <w:tcW w:type="dxa" w:w="2160"/>
          </w:tcPr>
          <w:p>
            <w:r/>
            <w:r>
              <w:rPr>
                <w:sz w:val="18"/>
              </w:rPr>
              <w:t>dbo_mg_l</w:t>
            </w:r>
          </w:p>
        </w:tc>
        <w:tc>
          <w:tcPr>
            <w:tcW w:type="dxa" w:w="2160"/>
          </w:tcPr>
          <w:p>
            <w:r/>
            <w:r>
              <w:rPr>
                <w:sz w:val="18"/>
              </w:rPr>
              <w:t>3940</w:t>
            </w:r>
          </w:p>
        </w:tc>
        <w:tc>
          <w:tcPr>
            <w:tcW w:type="dxa" w:w="2160"/>
          </w:tcPr>
          <w:p>
            <w:r/>
            <w:r>
              <w:rPr>
                <w:sz w:val="18"/>
              </w:rPr>
              <w:t>66 (1.68%)</w:t>
            </w:r>
          </w:p>
        </w:tc>
        <w:tc>
          <w:tcPr>
            <w:tcW w:type="dxa" w:w="2160"/>
          </w:tcPr>
          <w:p>
            <w:r/>
            <w:r>
              <w:rPr>
                <w:sz w:val="18"/>
              </w:rPr>
              <w:t>326 (8.27%)</w:t>
            </w:r>
          </w:p>
        </w:tc>
      </w:tr>
      <w:tr>
        <w:tc>
          <w:tcPr>
            <w:tcW w:type="dxa" w:w="2160"/>
          </w:tcPr>
          <w:p>
            <w:r/>
            <w:r>
              <w:rPr>
                <w:sz w:val="18"/>
              </w:rPr>
              <w:t>zinco_ppm</w:t>
            </w:r>
          </w:p>
        </w:tc>
        <w:tc>
          <w:tcPr>
            <w:tcW w:type="dxa" w:w="2160"/>
          </w:tcPr>
          <w:p>
            <w:r/>
            <w:r>
              <w:rPr>
                <w:sz w:val="18"/>
              </w:rPr>
              <w:t>3428</w:t>
            </w:r>
          </w:p>
        </w:tc>
        <w:tc>
          <w:tcPr>
            <w:tcW w:type="dxa" w:w="2160"/>
          </w:tcPr>
          <w:p>
            <w:r/>
            <w:r>
              <w:rPr>
                <w:sz w:val="18"/>
              </w:rPr>
              <w:t>36 (1.05%)</w:t>
            </w:r>
          </w:p>
        </w:tc>
        <w:tc>
          <w:tcPr>
            <w:tcW w:type="dxa" w:w="2160"/>
          </w:tcPr>
          <w:p>
            <w:r/>
            <w:r>
              <w:rPr>
                <w:sz w:val="18"/>
              </w:rPr>
              <w:t>265 (7.73%)</w:t>
            </w:r>
          </w:p>
        </w:tc>
      </w:tr>
      <w:tr>
        <w:tc>
          <w:tcPr>
            <w:tcW w:type="dxa" w:w="2160"/>
          </w:tcPr>
          <w:p>
            <w:r/>
            <w:r>
              <w:rPr>
                <w:sz w:val="18"/>
              </w:rPr>
              <w:t>mercurio_ppm</w:t>
            </w:r>
          </w:p>
        </w:tc>
        <w:tc>
          <w:tcPr>
            <w:tcW w:type="dxa" w:w="2160"/>
          </w:tcPr>
          <w:p>
            <w:r/>
            <w:r>
              <w:rPr>
                <w:sz w:val="18"/>
              </w:rPr>
              <w:t>3377</w:t>
            </w:r>
          </w:p>
        </w:tc>
        <w:tc>
          <w:tcPr>
            <w:tcW w:type="dxa" w:w="2160"/>
          </w:tcPr>
          <w:p>
            <w:r/>
            <w:r>
              <w:rPr>
                <w:sz w:val="18"/>
              </w:rPr>
              <w:t>32 (0.95%)</w:t>
            </w:r>
          </w:p>
        </w:tc>
        <w:tc>
          <w:tcPr>
            <w:tcW w:type="dxa" w:w="2160"/>
          </w:tcPr>
          <w:p>
            <w:r/>
            <w:r>
              <w:rPr>
                <w:sz w:val="18"/>
              </w:rPr>
              <w:t>570 (16.88%)</w:t>
            </w:r>
          </w:p>
        </w:tc>
      </w:tr>
      <w:tr>
        <w:tc>
          <w:tcPr>
            <w:tcW w:type="dxa" w:w="2160"/>
          </w:tcPr>
          <w:p>
            <w:r/>
            <w:r>
              <w:rPr>
                <w:sz w:val="18"/>
              </w:rPr>
              <w:t>condutividade_us_cm</w:t>
            </w:r>
          </w:p>
        </w:tc>
        <w:tc>
          <w:tcPr>
            <w:tcW w:type="dxa" w:w="2160"/>
          </w:tcPr>
          <w:p>
            <w:r/>
            <w:r>
              <w:rPr>
                <w:sz w:val="18"/>
              </w:rPr>
              <w:t>3222</w:t>
            </w:r>
          </w:p>
        </w:tc>
        <w:tc>
          <w:tcPr>
            <w:tcW w:type="dxa" w:w="2160"/>
          </w:tcPr>
          <w:p>
            <w:r/>
            <w:r>
              <w:rPr>
                <w:sz w:val="18"/>
              </w:rPr>
              <w:t>16 (0.50%)</w:t>
            </w:r>
          </w:p>
        </w:tc>
        <w:tc>
          <w:tcPr>
            <w:tcW w:type="dxa" w:w="2160"/>
          </w:tcPr>
          <w:p>
            <w:r/>
            <w:r>
              <w:rPr>
                <w:sz w:val="18"/>
              </w:rPr>
              <w:t>20 (0.62%)</w:t>
            </w:r>
          </w:p>
        </w:tc>
      </w:tr>
      <w:tr>
        <w:tc>
          <w:tcPr>
            <w:tcW w:type="dxa" w:w="2160"/>
          </w:tcPr>
          <w:p>
            <w:r/>
            <w:r>
              <w:rPr>
                <w:sz w:val="18"/>
              </w:rPr>
              <w:t>coliformes_nmp_100ml</w:t>
            </w:r>
          </w:p>
        </w:tc>
        <w:tc>
          <w:tcPr>
            <w:tcW w:type="dxa" w:w="2160"/>
          </w:tcPr>
          <w:p>
            <w:r/>
            <w:r>
              <w:rPr>
                <w:sz w:val="18"/>
              </w:rPr>
              <w:t>3130</w:t>
            </w:r>
          </w:p>
        </w:tc>
        <w:tc>
          <w:tcPr>
            <w:tcW w:type="dxa" w:w="2160"/>
          </w:tcPr>
          <w:p>
            <w:r/>
            <w:r>
              <w:rPr>
                <w:sz w:val="18"/>
              </w:rPr>
              <w:t>19 (0.61%)</w:t>
            </w:r>
          </w:p>
        </w:tc>
        <w:tc>
          <w:tcPr>
            <w:tcW w:type="dxa" w:w="2160"/>
          </w:tcPr>
          <w:p>
            <w:r/>
            <w:r>
              <w:rPr>
                <w:sz w:val="18"/>
              </w:rPr>
              <w:t>603 (19.27%)</w:t>
            </w:r>
          </w:p>
        </w:tc>
      </w:tr>
      <w:tr>
        <w:tc>
          <w:tcPr>
            <w:tcW w:type="dxa" w:w="2160"/>
          </w:tcPr>
          <w:p>
            <w:r/>
            <w:r>
              <w:rPr>
                <w:sz w:val="18"/>
              </w:rPr>
              <w:t>vazao_m3s</w:t>
            </w:r>
          </w:p>
        </w:tc>
        <w:tc>
          <w:tcPr>
            <w:tcW w:type="dxa" w:w="2160"/>
          </w:tcPr>
          <w:p>
            <w:r/>
            <w:r>
              <w:rPr>
                <w:sz w:val="18"/>
              </w:rPr>
              <w:t>9061</w:t>
            </w:r>
          </w:p>
        </w:tc>
        <w:tc>
          <w:tcPr>
            <w:tcW w:type="dxa" w:w="2160"/>
          </w:tcPr>
          <w:p>
            <w:r/>
            <w:r>
              <w:rPr>
                <w:sz w:val="18"/>
              </w:rPr>
              <w:t>74 (0.82%)</w:t>
            </w:r>
          </w:p>
        </w:tc>
        <w:tc>
          <w:tcPr>
            <w:tcW w:type="dxa" w:w="2160"/>
          </w:tcPr>
          <w:p>
            <w:r/>
            <w:r>
              <w:rPr>
                <w:sz w:val="18"/>
              </w:rPr>
              <w:t>142 (1.57%)</w:t>
            </w:r>
          </w:p>
        </w:tc>
      </w:tr>
      <w:tr>
        <w:tc>
          <w:tcPr>
            <w:tcW w:type="dxa" w:w="2160"/>
          </w:tcPr>
          <w:p>
            <w:r/>
            <w:r>
              <w:rPr>
                <w:sz w:val="18"/>
              </w:rPr>
              <w:t>chuva_mm</w:t>
            </w:r>
          </w:p>
        </w:tc>
        <w:tc>
          <w:tcPr>
            <w:tcW w:type="dxa" w:w="2160"/>
          </w:tcPr>
          <w:p>
            <w:r/>
            <w:r>
              <w:rPr>
                <w:sz w:val="18"/>
              </w:rPr>
              <w:t>99529</w:t>
            </w:r>
          </w:p>
        </w:tc>
        <w:tc>
          <w:tcPr>
            <w:tcW w:type="dxa" w:w="2160"/>
          </w:tcPr>
          <w:p>
            <w:r/>
            <w:r>
              <w:rPr>
                <w:sz w:val="18"/>
              </w:rPr>
              <w:t>1158 (1.16%)</w:t>
            </w:r>
          </w:p>
        </w:tc>
        <w:tc>
          <w:tcPr>
            <w:tcW w:type="dxa" w:w="2160"/>
          </w:tcPr>
          <w:p>
            <w:r/>
            <w:r>
              <w:rPr>
                <w:sz w:val="18"/>
              </w:rPr>
              <w:t>2227 (2.24%)</w:t>
            </w:r>
          </w:p>
        </w:tc>
      </w:tr>
    </w:tbl>
    <w:tbl>
      <w:tblPr>
        <w:tblW w:type="auto" w:w="0"/>
        <w:tblLook w:firstColumn="1" w:firstRow="1" w:lastColumn="0" w:lastRow="0" w:noHBand="0" w:noVBand="1" w:val="04A0"/>
      </w:tblPr>
      <w:tblGrid>
        <w:gridCol w:w="8640"/>
      </w:tblGrid>
      <w:tr>
        <w:tc>
          <w:tcPr>
            <w:tcW w:type="dxa" w:w="8640"/>
            <w:shd w:fill="FBEAEA"/>
          </w:tcPr>
          <w:p>
            <w:r/>
            <w:r>
              <w:rPr>
                <w:b/>
                <w:color w:val="D03B3B"/>
                <w:sz w:val="17"/>
              </w:rPr>
              <w:t>ACHADO</w:t>
            </w:r>
          </w:p>
          <w:p>
            <w:r>
              <w:rPr>
                <w:b/>
                <w:sz w:val="19"/>
              </w:rPr>
              <w:t>Coliformes Termotolerantes (19,3% de outliers IQR) e Mercúrio Total (16,9%)</w:t>
            </w:r>
            <w:r>
              <w:rPr>
                <w:sz w:val="19"/>
              </w:rPr>
              <w:t xml:space="preserve"> têm, de longe, a</w:t>
              <w:br/>
              <w:t>maior taxa de eventos extremos do painel — muito acima do Nitrogênio-Nitrato (10,4%) e DBO (8,3%), que já são</w:t>
              <w:br/>
              <w:t xml:space="preserve">poluentes reconhecidamente episódicos. Isso é consistente com </w:t>
            </w:r>
            <w:r>
              <w:rPr>
                <w:b/>
                <w:sz w:val="19"/>
              </w:rPr>
              <w:t>lançamentos pontuais e intermitentes</w:t>
            </w:r>
            <w:r>
              <w:rPr>
                <w:sz w:val="19"/>
              </w:rPr>
              <w:br/>
              <w:t>(rompimento de rede de esgoto, descarte industrial irregular) em vez de poluição difusa e constante — e sugere que</w:t>
              <w:br/>
              <w:t>a fiscalização baseada só em médias anuais (como o IQA simplificado usado neste projeto) pode estar mascarando</w:t>
              <w:br/>
              <w:t>picos agudos de risco à saúde pública e à biota que só aparecem no dado bruto, evento a evento.</w:t>
            </w:r>
          </w:p>
        </w:tc>
      </w:tr>
    </w:tbl>
    <w:p/>
    <w:p>
      <w:r>
        <w:br w:type="page"/>
      </w:r>
    </w:p>
    <w:p>
      <w:pPr>
        <w:pStyle w:val="Heading1"/>
      </w:pPr>
      <w:r>
        <w:t>15 — Machine Learning: SHAP, matriz de confusão e matriz de dispersão</w:t>
      </w:r>
    </w:p>
    <w:p>
      <w:pPr>
        <w:pStyle w:val="Heading3"/>
      </w:pPr>
      <w:r>
        <w:t>15.1 — SHAP (modelos de produção: um RandomForest por trecho, hiperparâmetros ajustados)</w:t>
      </w:r>
    </w:p>
    <w:p>
      <w:r>
        <w:t>Os modelos de produção passaram por várias correções desde a primeira versão deste relatório (ver auditoria</w:t>
        <w:br/>
        <w:t xml:space="preserve">de ML em </w:t>
      </w:r>
      <w:r>
        <w:rPr>
          <w:rFonts w:ascii="Consolas" w:hAnsi="Consolas"/>
          <w:color w:val="2A78D6"/>
          <w:sz w:val="19"/>
        </w:rPr>
        <w:t>models.ml.train</w:t>
      </w:r>
      <w:r>
        <w:t xml:space="preserve">): (1) treino em </w:t>
      </w:r>
      <w:r>
        <w:rPr>
          <w:b/>
        </w:rPr>
        <w:t>granularidade anual</w:t>
      </w:r>
      <w:r>
        <w:br/>
        <w:t>(</w:t>
      </w:r>
      <w:r>
        <w:rPr>
          <w:rFonts w:ascii="Consolas" w:hAnsi="Consolas"/>
          <w:color w:val="2A78D6"/>
          <w:sz w:val="19"/>
        </w:rPr>
        <w:t>gold.feature_store_ml_anual</w:t>
      </w:r>
      <w:r>
        <w:t>, uma linha por trecho/ano — a granularidade mensal antiga repetia o</w:t>
        <w:br/>
        <w:t xml:space="preserve">valor anual 12×, inflando artificialmente o desempenho aparente); (2) </w:t>
      </w:r>
      <w:r>
        <w:rPr>
          <w:b/>
        </w:rPr>
        <w:t>um modelo independente por</w:t>
        <w:br/>
        <w:t>trecho</w:t>
      </w:r>
      <w:r>
        <w:t xml:space="preserve"> em vez de um único modelo com </w:t>
      </w:r>
      <w:r>
        <w:rPr>
          <w:rFonts w:ascii="Consolas" w:hAnsi="Consolas"/>
          <w:color w:val="2A78D6"/>
          <w:sz w:val="19"/>
        </w:rPr>
        <w:t>trecho_id</w:t>
      </w:r>
      <w:r>
        <w:t xml:space="preserve"> como categoria, já que o teste de</w:t>
        <w:br/>
        <w:t>generalização espacial (Seção 23) mostrou que essa mistura não funciona; (3) hiperparâmetros de cada um dos 6</w:t>
        <w:br/>
        <w:t xml:space="preserve">modelos (3 trechos × IQA/OD) ajustados por </w:t>
      </w:r>
      <w:r>
        <w:rPr>
          <w:rFonts w:ascii="Consolas" w:hAnsi="Consolas"/>
          <w:color w:val="2A78D6"/>
          <w:sz w:val="19"/>
        </w:rPr>
        <w:t>GridSearchCV</w:t>
      </w:r>
      <w:r>
        <w:t xml:space="preserve"> (validação cruzada de 5 folds, otimizando</w:t>
        <w:br/>
        <w:t xml:space="preserve">MAE); e, mais recentemente, (4) </w:t>
      </w:r>
      <w:r>
        <w:rPr>
          <w:b/>
        </w:rPr>
        <w:t>uso do solo real (MapBiomas, Seção 25)</w:t>
      </w:r>
      <w:r>
        <w:t xml:space="preserve"> entrou como preditora ao</w:t>
        <w:br/>
        <w:t>lado de vazão e chuva.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Trecho</w:t>
            </w:r>
          </w:p>
        </w:tc>
        <w:tc>
          <w:tcPr>
            <w:tcW w:type="dxa" w:w="1440"/>
          </w:tcPr>
          <w:p>
            <w:r/>
            <w:r>
              <w:rPr>
                <w:b/>
                <w:sz w:val="17"/>
              </w:rPr>
              <w:t>Alvo</w:t>
            </w:r>
          </w:p>
        </w:tc>
        <w:tc>
          <w:tcPr>
            <w:tcW w:type="dxa" w:w="1440"/>
          </w:tcPr>
          <w:p>
            <w:r/>
            <w:r>
              <w:rPr>
                <w:b/>
                <w:sz w:val="17"/>
              </w:rPr>
              <w:t>MAE RF (split único)</w:t>
            </w:r>
          </w:p>
        </w:tc>
        <w:tc>
          <w:tcPr>
            <w:tcW w:type="dxa" w:w="1440"/>
          </w:tcPr>
          <w:p>
            <w:r/>
            <w:r>
              <w:rPr>
                <w:b/>
                <w:sz w:val="17"/>
              </w:rPr>
              <w:t>MAE baseline (ano anterior)</w:t>
            </w:r>
          </w:p>
        </w:tc>
        <w:tc>
          <w:tcPr>
            <w:tcW w:type="dxa" w:w="1440"/>
          </w:tcPr>
          <w:p>
            <w:r/>
            <w:r>
              <w:rPr>
                <w:b/>
                <w:sz w:val="17"/>
              </w:rPr>
              <w:t>Redução</w:t>
            </w:r>
          </w:p>
        </w:tc>
        <w:tc>
          <w:tcPr>
            <w:tcW w:type="dxa" w:w="1440"/>
          </w:tcPr>
          <w:p>
            <w:r/>
            <w:r>
              <w:rPr>
                <w:b/>
                <w:sz w:val="17"/>
              </w:rPr>
              <w:t>R² (split único)</w:t>
            </w:r>
          </w:p>
        </w:tc>
      </w:tr>
      <w:tr>
        <w:tc>
          <w:tcPr>
            <w:tcW w:type="dxa" w:w="1440"/>
          </w:tcPr>
          <w:p>
            <w:r/>
            <w:r>
              <w:rPr>
                <w:sz w:val="18"/>
              </w:rPr>
              <w:t>Alto Tietê</w:t>
            </w:r>
          </w:p>
        </w:tc>
        <w:tc>
          <w:tcPr>
            <w:tcW w:type="dxa" w:w="1440"/>
          </w:tcPr>
          <w:p>
            <w:r/>
            <w:r>
              <w:rPr>
                <w:sz w:val="18"/>
              </w:rPr>
              <w:t>IQA</w:t>
            </w:r>
          </w:p>
        </w:tc>
        <w:tc>
          <w:tcPr>
            <w:tcW w:type="dxa" w:w="1440"/>
          </w:tcPr>
          <w:p>
            <w:r/>
            <w:r>
              <w:rPr>
                <w:sz w:val="18"/>
              </w:rPr>
              <w:t>7,01</w:t>
            </w:r>
          </w:p>
        </w:tc>
        <w:tc>
          <w:tcPr>
            <w:tcW w:type="dxa" w:w="1440"/>
          </w:tcPr>
          <w:p>
            <w:r/>
            <w:r>
              <w:rPr>
                <w:sz w:val="18"/>
              </w:rPr>
              <w:t>5,93</w:t>
            </w:r>
          </w:p>
        </w:tc>
        <w:tc>
          <w:tcPr>
            <w:tcW w:type="dxa" w:w="1440"/>
          </w:tcPr>
          <w:p>
            <w:r/>
            <w:r>
              <w:rPr>
                <w:color w:val="D03B3B"/>
                <w:sz w:val="18"/>
              </w:rPr>
              <w:t>-18,3%</w:t>
            </w:r>
          </w:p>
        </w:tc>
        <w:tc>
          <w:tcPr>
            <w:tcW w:type="dxa" w:w="1440"/>
          </w:tcPr>
          <w:p>
            <w:r/>
            <w:r>
              <w:rPr>
                <w:sz w:val="18"/>
              </w:rPr>
              <w:t>-0,02</w:t>
            </w:r>
          </w:p>
        </w:tc>
      </w:tr>
      <w:tr>
        <w:tc>
          <w:tcPr>
            <w:tcW w:type="dxa" w:w="1440"/>
          </w:tcPr>
          <w:p>
            <w:r/>
            <w:r>
              <w:rPr>
                <w:sz w:val="18"/>
              </w:rPr>
              <w:t>Alto Tietê</w:t>
            </w:r>
          </w:p>
        </w:tc>
        <w:tc>
          <w:tcPr>
            <w:tcW w:type="dxa" w:w="1440"/>
          </w:tcPr>
          <w:p>
            <w:r/>
            <w:r>
              <w:rPr>
                <w:sz w:val="18"/>
              </w:rPr>
              <w:t>OD</w:t>
            </w:r>
          </w:p>
        </w:tc>
        <w:tc>
          <w:tcPr>
            <w:tcW w:type="dxa" w:w="1440"/>
          </w:tcPr>
          <w:p>
            <w:r/>
            <w:r>
              <w:rPr>
                <w:sz w:val="18"/>
              </w:rPr>
              <w:t>0,41</w:t>
            </w:r>
          </w:p>
        </w:tc>
        <w:tc>
          <w:tcPr>
            <w:tcW w:type="dxa" w:w="1440"/>
          </w:tcPr>
          <w:p>
            <w:r/>
            <w:r>
              <w:rPr>
                <w:sz w:val="18"/>
              </w:rPr>
              <w:t>0,24</w:t>
            </w:r>
          </w:p>
        </w:tc>
        <w:tc>
          <w:tcPr>
            <w:tcW w:type="dxa" w:w="1440"/>
          </w:tcPr>
          <w:p>
            <w:r/>
            <w:r>
              <w:rPr>
                <w:color w:val="D03B3B"/>
                <w:sz w:val="18"/>
              </w:rPr>
              <w:t>-69,6%</w:t>
            </w:r>
          </w:p>
        </w:tc>
        <w:tc>
          <w:tcPr>
            <w:tcW w:type="dxa" w:w="1440"/>
          </w:tcPr>
          <w:p>
            <w:r/>
            <w:r>
              <w:rPr>
                <w:sz w:val="18"/>
              </w:rPr>
              <w:t>-4,63</w:t>
            </w:r>
          </w:p>
        </w:tc>
      </w:tr>
      <w:tr>
        <w:tc>
          <w:tcPr>
            <w:tcW w:type="dxa" w:w="1440"/>
          </w:tcPr>
          <w:p>
            <w:r/>
            <w:r>
              <w:rPr>
                <w:sz w:val="18"/>
              </w:rPr>
              <w:t>Médio Tietê</w:t>
            </w:r>
          </w:p>
        </w:tc>
        <w:tc>
          <w:tcPr>
            <w:tcW w:type="dxa" w:w="1440"/>
          </w:tcPr>
          <w:p>
            <w:r/>
            <w:r>
              <w:rPr>
                <w:sz w:val="18"/>
              </w:rPr>
              <w:t>IQA</w:t>
            </w:r>
          </w:p>
        </w:tc>
        <w:tc>
          <w:tcPr>
            <w:tcW w:type="dxa" w:w="1440"/>
          </w:tcPr>
          <w:p>
            <w:r/>
            <w:r>
              <w:rPr>
                <w:sz w:val="18"/>
              </w:rPr>
              <w:t>9,38</w:t>
            </w:r>
          </w:p>
        </w:tc>
        <w:tc>
          <w:tcPr>
            <w:tcW w:type="dxa" w:w="1440"/>
          </w:tcPr>
          <w:p>
            <w:r/>
            <w:r>
              <w:rPr>
                <w:sz w:val="18"/>
              </w:rPr>
              <w:t>10,27</w:t>
            </w:r>
          </w:p>
        </w:tc>
        <w:tc>
          <w:tcPr>
            <w:tcW w:type="dxa" w:w="1440"/>
          </w:tcPr>
          <w:p>
            <w:r/>
            <w:r>
              <w:rPr>
                <w:color w:val="0CA30C"/>
                <w:sz w:val="18"/>
              </w:rPr>
              <w:t>+8,7%</w:t>
            </w:r>
          </w:p>
        </w:tc>
        <w:tc>
          <w:tcPr>
            <w:tcW w:type="dxa" w:w="1440"/>
          </w:tcPr>
          <w:p>
            <w:r/>
            <w:r>
              <w:rPr>
                <w:sz w:val="18"/>
              </w:rPr>
              <w:t>-1,29</w:t>
            </w:r>
          </w:p>
        </w:tc>
      </w:tr>
      <w:tr>
        <w:tc>
          <w:tcPr>
            <w:tcW w:type="dxa" w:w="1440"/>
          </w:tcPr>
          <w:p>
            <w:r/>
            <w:r>
              <w:rPr>
                <w:sz w:val="18"/>
              </w:rPr>
              <w:t>Médio Tietê</w:t>
            </w:r>
          </w:p>
        </w:tc>
        <w:tc>
          <w:tcPr>
            <w:tcW w:type="dxa" w:w="1440"/>
          </w:tcPr>
          <w:p>
            <w:r/>
            <w:r>
              <w:rPr>
                <w:sz w:val="18"/>
              </w:rPr>
              <w:t>OD</w:t>
            </w:r>
          </w:p>
        </w:tc>
        <w:tc>
          <w:tcPr>
            <w:tcW w:type="dxa" w:w="1440"/>
          </w:tcPr>
          <w:p>
            <w:r/>
            <w:r>
              <w:rPr>
                <w:sz w:val="18"/>
              </w:rPr>
              <w:t>0,43</w:t>
            </w:r>
          </w:p>
        </w:tc>
        <w:tc>
          <w:tcPr>
            <w:tcW w:type="dxa" w:w="1440"/>
          </w:tcPr>
          <w:p>
            <w:r/>
            <w:r>
              <w:rPr>
                <w:sz w:val="18"/>
              </w:rPr>
              <w:t>0,50</w:t>
            </w:r>
          </w:p>
        </w:tc>
        <w:tc>
          <w:tcPr>
            <w:tcW w:type="dxa" w:w="1440"/>
          </w:tcPr>
          <w:p>
            <w:r/>
            <w:r>
              <w:rPr>
                <w:color w:val="0CA30C"/>
                <w:sz w:val="18"/>
              </w:rPr>
              <w:t>+15,1%</w:t>
            </w:r>
          </w:p>
        </w:tc>
        <w:tc>
          <w:tcPr>
            <w:tcW w:type="dxa" w:w="1440"/>
          </w:tcPr>
          <w:p>
            <w:r/>
            <w:r>
              <w:rPr>
                <w:sz w:val="18"/>
              </w:rPr>
              <w:t>0,04</w:t>
            </w:r>
          </w:p>
        </w:tc>
      </w:tr>
      <w:tr>
        <w:tc>
          <w:tcPr>
            <w:tcW w:type="dxa" w:w="1440"/>
          </w:tcPr>
          <w:p>
            <w:r/>
            <w:r>
              <w:rPr>
                <w:sz w:val="18"/>
              </w:rPr>
              <w:t>Baixo Tietê</w:t>
            </w:r>
          </w:p>
        </w:tc>
        <w:tc>
          <w:tcPr>
            <w:tcW w:type="dxa" w:w="1440"/>
          </w:tcPr>
          <w:p>
            <w:r/>
            <w:r>
              <w:rPr>
                <w:sz w:val="18"/>
              </w:rPr>
              <w:t>IQA</w:t>
            </w:r>
          </w:p>
        </w:tc>
        <w:tc>
          <w:tcPr>
            <w:tcW w:type="dxa" w:w="1440"/>
          </w:tcPr>
          <w:p>
            <w:r/>
            <w:r>
              <w:rPr>
                <w:sz w:val="18"/>
              </w:rPr>
              <w:t>4,44</w:t>
            </w:r>
          </w:p>
        </w:tc>
        <w:tc>
          <w:tcPr>
            <w:tcW w:type="dxa" w:w="1440"/>
          </w:tcPr>
          <w:p>
            <w:r/>
            <w:r>
              <w:rPr>
                <w:sz w:val="18"/>
              </w:rPr>
              <w:t>5,63</w:t>
            </w:r>
          </w:p>
        </w:tc>
        <w:tc>
          <w:tcPr>
            <w:tcW w:type="dxa" w:w="1440"/>
          </w:tcPr>
          <w:p>
            <w:r/>
            <w:r>
              <w:rPr>
                <w:color w:val="0CA30C"/>
                <w:sz w:val="18"/>
              </w:rPr>
              <w:t>+21,2%</w:t>
            </w:r>
          </w:p>
        </w:tc>
        <w:tc>
          <w:tcPr>
            <w:tcW w:type="dxa" w:w="1440"/>
          </w:tcPr>
          <w:p>
            <w:r/>
            <w:r>
              <w:rPr>
                <w:sz w:val="18"/>
              </w:rPr>
              <w:t>-0,29</w:t>
            </w:r>
          </w:p>
        </w:tc>
      </w:tr>
      <w:tr>
        <w:tc>
          <w:tcPr>
            <w:tcW w:type="dxa" w:w="1440"/>
          </w:tcPr>
          <w:p>
            <w:r/>
            <w:r>
              <w:rPr>
                <w:sz w:val="18"/>
              </w:rPr>
              <w:t>Baixo Tietê</w:t>
            </w:r>
          </w:p>
        </w:tc>
        <w:tc>
          <w:tcPr>
            <w:tcW w:type="dxa" w:w="1440"/>
          </w:tcPr>
          <w:p>
            <w:r/>
            <w:r>
              <w:rPr>
                <w:sz w:val="18"/>
              </w:rPr>
              <w:t>OD</w:t>
            </w:r>
          </w:p>
        </w:tc>
        <w:tc>
          <w:tcPr>
            <w:tcW w:type="dxa" w:w="1440"/>
          </w:tcPr>
          <w:p>
            <w:r/>
            <w:r>
              <w:rPr>
                <w:sz w:val="18"/>
              </w:rPr>
              <w:t>0,35</w:t>
            </w:r>
          </w:p>
        </w:tc>
        <w:tc>
          <w:tcPr>
            <w:tcW w:type="dxa" w:w="1440"/>
          </w:tcPr>
          <w:p>
            <w:r/>
            <w:r>
              <w:rPr>
                <w:sz w:val="18"/>
              </w:rPr>
              <w:t>0,56</w:t>
            </w:r>
          </w:p>
        </w:tc>
        <w:tc>
          <w:tcPr>
            <w:tcW w:type="dxa" w:w="1440"/>
          </w:tcPr>
          <w:p>
            <w:r/>
            <w:r>
              <w:rPr>
                <w:color w:val="0CA30C"/>
                <w:sz w:val="18"/>
              </w:rPr>
              <w:t>+38,2%</w:t>
            </w:r>
          </w:p>
        </w:tc>
        <w:tc>
          <w:tcPr>
            <w:tcW w:type="dxa" w:w="1440"/>
          </w:tcPr>
          <w:p>
            <w:r/>
            <w:r>
              <w:rPr>
                <w:sz w:val="18"/>
              </w:rPr>
              <w:t>-0,23</w:t>
            </w:r>
          </w:p>
        </w:tc>
      </w:tr>
    </w:tbl>
    <w:tbl>
      <w:tblPr>
        <w:tblW w:type="auto" w:w="0"/>
        <w:tblLook w:firstColumn="1" w:firstRow="1" w:lastColumn="0" w:lastRow="0" w:noHBand="0" w:noVBand="1" w:val="04A0"/>
      </w:tblPr>
      <w:tblGrid>
        <w:gridCol w:w="8640"/>
      </w:tblGrid>
      <w:tr>
        <w:tc>
          <w:tcPr>
            <w:tcW w:type="dxa" w:w="8640"/>
            <w:shd w:fill="FBEAEA"/>
          </w:tcPr>
          <w:p>
            <w:r/>
            <w:r>
              <w:rPr>
                <w:b/>
                <w:color w:val="D03B3B"/>
                <w:sz w:val="17"/>
              </w:rPr>
              <w:t>ACHADO (REVISÃO DO ACHADO ANTERIOR)</w:t>
            </w:r>
          </w:p>
          <w:p>
            <w:r>
              <w:rPr>
                <w:sz w:val="19"/>
              </w:rPr>
              <w:t>Um relatório anterior desta mesma seção reportava um único modelo pooled com R²=0,89-0,94 e redução de MAE de</w:t>
              <w:br/>
              <w:t>+9-15% sobre o baseline. Ao separar por trecho — a correção metodologicamente correta, dado que generalização</w:t>
              <w:br/>
              <w:t xml:space="preserve">cruzada entre trechos já havia provado falhar (Seção 23) —, </w:t>
            </w:r>
            <w:r>
              <w:rPr>
                <w:b/>
                <w:sz w:val="19"/>
              </w:rPr>
              <w:t>4 dos 6 modelos passam a ter R² negativo</w:t>
            </w:r>
            <w:r>
              <w:rPr>
                <w:sz w:val="19"/>
              </w:rPr>
              <w:br/>
              <w:t xml:space="preserve">no split único, e o </w:t>
            </w:r>
            <w:r>
              <w:rPr>
                <w:b/>
                <w:sz w:val="19"/>
              </w:rPr>
              <w:t>Alto Tietê não bate o baseline trivial em nenhum dos dois alvos</w:t>
            </w:r>
            <w:r>
              <w:rPr>
                <w:sz w:val="19"/>
              </w:rPr>
              <w:t xml:space="preserve"> (IQA -18,3%,</w:t>
              <w:br/>
              <w:t>OD -69,6%, piores que simplesmente repetir o valor do ano anterior). Isso revela que boa parte do desempenho</w:t>
              <w:br/>
              <w:t xml:space="preserve">"bom" do modelo pooled vinha de </w:t>
            </w:r>
            <w:r>
              <w:rPr>
                <w:b/>
                <w:sz w:val="19"/>
              </w:rPr>
              <w:t>distinguir entre trechos</w:t>
            </w:r>
            <w:r>
              <w:rPr>
                <w:sz w:val="19"/>
              </w:rPr>
              <w:t xml:space="preserve"> (Alto sempre baixo, Baixo sempre alto</w:t>
              <w:br/>
              <w:t>— uma diferença de nível estrutural, não uma relação preditiva ano a ano), não de sinal genuíno dentro de cada</w:t>
              <w:br/>
              <w:t>trecho. Mesmo com uso do solo real agora como preditora, o Alto Tietê continua sem bater o baseline — a limitação</w:t>
              <w:br/>
              <w:t>não era falta de uma variável de uso do solo, é a variabilidade ano a ano em si (ver walk-forward abaixo).</w:t>
            </w:r>
          </w:p>
        </w:tc>
      </w:tr>
    </w:tbl>
    <w:p/>
    <w:p>
      <w:r>
        <w:t xml:space="preserve">Além do split único acima, cada modelo passou por validação </w:t>
      </w:r>
      <w:r>
        <w:rPr>
          <w:b/>
        </w:rPr>
        <w:t>walk-forward</w:t>
      </w:r>
      <w:r>
        <w:br/>
        <w:t>(</w:t>
      </w:r>
      <w:r>
        <w:rPr>
          <w:rFonts w:ascii="Consolas" w:hAnsi="Consolas"/>
          <w:color w:val="2A78D6"/>
          <w:sz w:val="19"/>
        </w:rPr>
        <w:t>models.ml.train.validacao_walk_forward_trecho</w:t>
      </w:r>
      <w:r>
        <w:t>): a cada ano de teste, o treino usa só os anos</w:t>
        <w:br/>
        <w:t>ANTERIORES (nunca vaza ano futuro), expandindo a janela de treino a cada fold — mais realista que um único corte</w:t>
        <w:br/>
        <w:t>treino/teste para uma série de ~76-86 anos.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Trecho</w:t>
            </w:r>
          </w:p>
        </w:tc>
        <w:tc>
          <w:tcPr>
            <w:tcW w:type="dxa" w:w="1440"/>
          </w:tcPr>
          <w:p>
            <w:r/>
            <w:r>
              <w:rPr>
                <w:b/>
                <w:sz w:val="17"/>
              </w:rPr>
              <w:t>Alvo</w:t>
            </w:r>
          </w:p>
        </w:tc>
        <w:tc>
          <w:tcPr>
            <w:tcW w:type="dxa" w:w="1440"/>
          </w:tcPr>
          <w:p>
            <w:r/>
            <w:r>
              <w:rPr>
                <w:b/>
                <w:sz w:val="17"/>
              </w:rPr>
              <w:t>Folds</w:t>
            </w:r>
          </w:p>
        </w:tc>
        <w:tc>
          <w:tcPr>
            <w:tcW w:type="dxa" w:w="1440"/>
          </w:tcPr>
          <w:p>
            <w:r/>
            <w:r>
              <w:rPr>
                <w:b/>
                <w:sz w:val="17"/>
              </w:rPr>
              <w:t>MAE médio (WF)</w:t>
            </w:r>
          </w:p>
        </w:tc>
        <w:tc>
          <w:tcPr>
            <w:tcW w:type="dxa" w:w="1440"/>
          </w:tcPr>
          <w:p>
            <w:r/>
            <w:r>
              <w:rPr>
                <w:b/>
                <w:sz w:val="17"/>
              </w:rPr>
              <w:t>MAE baseline (WF)</w:t>
            </w:r>
          </w:p>
        </w:tc>
        <w:tc>
          <w:tcPr>
            <w:tcW w:type="dxa" w:w="1440"/>
          </w:tcPr>
          <w:p>
            <w:r/>
            <w:r>
              <w:rPr>
                <w:b/>
                <w:sz w:val="17"/>
              </w:rPr>
              <w:t>% folds que batem o baseline</w:t>
            </w:r>
          </w:p>
        </w:tc>
      </w:tr>
      <w:tr>
        <w:tc>
          <w:tcPr>
            <w:tcW w:type="dxa" w:w="1440"/>
          </w:tcPr>
          <w:p>
            <w:r/>
            <w:r>
              <w:rPr>
                <w:sz w:val="18"/>
              </w:rPr>
              <w:t>Alto Tietê</w:t>
            </w:r>
          </w:p>
        </w:tc>
        <w:tc>
          <w:tcPr>
            <w:tcW w:type="dxa" w:w="1440"/>
          </w:tcPr>
          <w:p>
            <w:r/>
            <w:r>
              <w:rPr>
                <w:sz w:val="18"/>
              </w:rPr>
              <w:t>IQA</w:t>
            </w:r>
          </w:p>
        </w:tc>
        <w:tc>
          <w:tcPr>
            <w:tcW w:type="dxa" w:w="1440"/>
          </w:tcPr>
          <w:p>
            <w:r/>
            <w:r>
              <w:rPr>
                <w:sz w:val="18"/>
              </w:rPr>
              <w:t>11</w:t>
            </w:r>
          </w:p>
        </w:tc>
        <w:tc>
          <w:tcPr>
            <w:tcW w:type="dxa" w:w="1440"/>
          </w:tcPr>
          <w:p>
            <w:r/>
            <w:r>
              <w:rPr>
                <w:sz w:val="18"/>
              </w:rPr>
              <w:t>6,41</w:t>
            </w:r>
          </w:p>
        </w:tc>
        <w:tc>
          <w:tcPr>
            <w:tcW w:type="dxa" w:w="1440"/>
          </w:tcPr>
          <w:p>
            <w:r/>
            <w:r>
              <w:rPr>
                <w:sz w:val="18"/>
              </w:rPr>
              <w:t>5,93</w:t>
            </w:r>
          </w:p>
        </w:tc>
        <w:tc>
          <w:tcPr>
            <w:tcW w:type="dxa" w:w="1440"/>
          </w:tcPr>
          <w:p>
            <w:r/>
            <w:r>
              <w:rPr>
                <w:color w:val="D03B3B"/>
                <w:sz w:val="18"/>
              </w:rPr>
              <w:t>36,4%</w:t>
            </w:r>
          </w:p>
        </w:tc>
      </w:tr>
      <w:tr>
        <w:tc>
          <w:tcPr>
            <w:tcW w:type="dxa" w:w="1440"/>
          </w:tcPr>
          <w:p>
            <w:r/>
            <w:r>
              <w:rPr>
                <w:sz w:val="18"/>
              </w:rPr>
              <w:t>Alto Tietê</w:t>
            </w:r>
          </w:p>
        </w:tc>
        <w:tc>
          <w:tcPr>
            <w:tcW w:type="dxa" w:w="1440"/>
          </w:tcPr>
          <w:p>
            <w:r/>
            <w:r>
              <w:rPr>
                <w:sz w:val="18"/>
              </w:rPr>
              <w:t>OD</w:t>
            </w:r>
          </w:p>
        </w:tc>
        <w:tc>
          <w:tcPr>
            <w:tcW w:type="dxa" w:w="1440"/>
          </w:tcPr>
          <w:p>
            <w:r/>
            <w:r>
              <w:rPr>
                <w:sz w:val="18"/>
              </w:rPr>
              <w:t>11</w:t>
            </w:r>
          </w:p>
        </w:tc>
        <w:tc>
          <w:tcPr>
            <w:tcW w:type="dxa" w:w="1440"/>
          </w:tcPr>
          <w:p>
            <w:r/>
            <w:r>
              <w:rPr>
                <w:sz w:val="18"/>
              </w:rPr>
              <w:t>0,29</w:t>
            </w:r>
          </w:p>
        </w:tc>
        <w:tc>
          <w:tcPr>
            <w:tcW w:type="dxa" w:w="1440"/>
          </w:tcPr>
          <w:p>
            <w:r/>
            <w:r>
              <w:rPr>
                <w:sz w:val="18"/>
              </w:rPr>
              <w:t>0,24</w:t>
            </w:r>
          </w:p>
        </w:tc>
        <w:tc>
          <w:tcPr>
            <w:tcW w:type="dxa" w:w="1440"/>
          </w:tcPr>
          <w:p>
            <w:r/>
            <w:r>
              <w:rPr>
                <w:color w:val="D03B3B"/>
                <w:sz w:val="18"/>
              </w:rPr>
              <w:t>36,4%</w:t>
            </w:r>
          </w:p>
        </w:tc>
      </w:tr>
      <w:tr>
        <w:tc>
          <w:tcPr>
            <w:tcW w:type="dxa" w:w="1440"/>
          </w:tcPr>
          <w:p>
            <w:r/>
            <w:r>
              <w:rPr>
                <w:sz w:val="18"/>
              </w:rPr>
              <w:t>Médio Tietê</w:t>
            </w:r>
          </w:p>
        </w:tc>
        <w:tc>
          <w:tcPr>
            <w:tcW w:type="dxa" w:w="1440"/>
          </w:tcPr>
          <w:p>
            <w:r/>
            <w:r>
              <w:rPr>
                <w:sz w:val="18"/>
              </w:rPr>
              <w:t>IQA</w:t>
            </w:r>
          </w:p>
        </w:tc>
        <w:tc>
          <w:tcPr>
            <w:tcW w:type="dxa" w:w="1440"/>
          </w:tcPr>
          <w:p>
            <w:r/>
            <w:r>
              <w:rPr>
                <w:sz w:val="18"/>
              </w:rPr>
              <w:t>11</w:t>
            </w:r>
          </w:p>
        </w:tc>
        <w:tc>
          <w:tcPr>
            <w:tcW w:type="dxa" w:w="1440"/>
          </w:tcPr>
          <w:p>
            <w:r/>
            <w:r>
              <w:rPr>
                <w:sz w:val="18"/>
              </w:rPr>
              <w:t>7,09</w:t>
            </w:r>
          </w:p>
        </w:tc>
        <w:tc>
          <w:tcPr>
            <w:tcW w:type="dxa" w:w="1440"/>
          </w:tcPr>
          <w:p>
            <w:r/>
            <w:r>
              <w:rPr>
                <w:sz w:val="18"/>
              </w:rPr>
              <w:t>10,27</w:t>
            </w:r>
          </w:p>
        </w:tc>
        <w:tc>
          <w:tcPr>
            <w:tcW w:type="dxa" w:w="1440"/>
          </w:tcPr>
          <w:p>
            <w:r/>
            <w:r>
              <w:rPr>
                <w:color w:val="0CA30C"/>
                <w:sz w:val="18"/>
              </w:rPr>
              <w:t>81,8%</w:t>
            </w:r>
          </w:p>
        </w:tc>
      </w:tr>
      <w:tr>
        <w:tc>
          <w:tcPr>
            <w:tcW w:type="dxa" w:w="1440"/>
          </w:tcPr>
          <w:p>
            <w:r/>
            <w:r>
              <w:rPr>
                <w:sz w:val="18"/>
              </w:rPr>
              <w:t>Médio Tietê</w:t>
            </w:r>
          </w:p>
        </w:tc>
        <w:tc>
          <w:tcPr>
            <w:tcW w:type="dxa" w:w="1440"/>
          </w:tcPr>
          <w:p>
            <w:r/>
            <w:r>
              <w:rPr>
                <w:sz w:val="18"/>
              </w:rPr>
              <w:t>OD</w:t>
            </w:r>
          </w:p>
        </w:tc>
        <w:tc>
          <w:tcPr>
            <w:tcW w:type="dxa" w:w="1440"/>
          </w:tcPr>
          <w:p>
            <w:r/>
            <w:r>
              <w:rPr>
                <w:sz w:val="18"/>
              </w:rPr>
              <w:t>11</w:t>
            </w:r>
          </w:p>
        </w:tc>
        <w:tc>
          <w:tcPr>
            <w:tcW w:type="dxa" w:w="1440"/>
          </w:tcPr>
          <w:p>
            <w:r/>
            <w:r>
              <w:rPr>
                <w:sz w:val="18"/>
              </w:rPr>
              <w:t>0,48</w:t>
            </w:r>
          </w:p>
        </w:tc>
        <w:tc>
          <w:tcPr>
            <w:tcW w:type="dxa" w:w="1440"/>
          </w:tcPr>
          <w:p>
            <w:r/>
            <w:r>
              <w:rPr>
                <w:sz w:val="18"/>
              </w:rPr>
              <w:t>0,50</w:t>
            </w:r>
          </w:p>
        </w:tc>
        <w:tc>
          <w:tcPr>
            <w:tcW w:type="dxa" w:w="1440"/>
          </w:tcPr>
          <w:p>
            <w:r/>
            <w:r>
              <w:rPr>
                <w:color w:val="0CA30C"/>
                <w:sz w:val="18"/>
              </w:rPr>
              <w:t>45,5%</w:t>
            </w:r>
          </w:p>
        </w:tc>
      </w:tr>
      <w:tr>
        <w:tc>
          <w:tcPr>
            <w:tcW w:type="dxa" w:w="1440"/>
          </w:tcPr>
          <w:p>
            <w:r/>
            <w:r>
              <w:rPr>
                <w:sz w:val="18"/>
              </w:rPr>
              <w:t>Baixo Tietê</w:t>
            </w:r>
          </w:p>
        </w:tc>
        <w:tc>
          <w:tcPr>
            <w:tcW w:type="dxa" w:w="1440"/>
          </w:tcPr>
          <w:p>
            <w:r/>
            <w:r>
              <w:rPr>
                <w:sz w:val="18"/>
              </w:rPr>
              <w:t>IQA</w:t>
            </w:r>
          </w:p>
        </w:tc>
        <w:tc>
          <w:tcPr>
            <w:tcW w:type="dxa" w:w="1440"/>
          </w:tcPr>
          <w:p>
            <w:r/>
            <w:r>
              <w:rPr>
                <w:sz w:val="18"/>
              </w:rPr>
              <w:t>11</w:t>
            </w:r>
          </w:p>
        </w:tc>
        <w:tc>
          <w:tcPr>
            <w:tcW w:type="dxa" w:w="1440"/>
          </w:tcPr>
          <w:p>
            <w:r/>
            <w:r>
              <w:rPr>
                <w:sz w:val="18"/>
              </w:rPr>
              <w:t>4,84</w:t>
            </w:r>
          </w:p>
        </w:tc>
        <w:tc>
          <w:tcPr>
            <w:tcW w:type="dxa" w:w="1440"/>
          </w:tcPr>
          <w:p>
            <w:r/>
            <w:r>
              <w:rPr>
                <w:sz w:val="18"/>
              </w:rPr>
              <w:t>5,63</w:t>
            </w:r>
          </w:p>
        </w:tc>
        <w:tc>
          <w:tcPr>
            <w:tcW w:type="dxa" w:w="1440"/>
          </w:tcPr>
          <w:p>
            <w:r/>
            <w:r>
              <w:rPr>
                <w:color w:val="0CA30C"/>
                <w:sz w:val="18"/>
              </w:rPr>
              <w:t>63,6%</w:t>
            </w:r>
          </w:p>
        </w:tc>
      </w:tr>
      <w:tr>
        <w:tc>
          <w:tcPr>
            <w:tcW w:type="dxa" w:w="1440"/>
          </w:tcPr>
          <w:p>
            <w:r/>
            <w:r>
              <w:rPr>
                <w:sz w:val="18"/>
              </w:rPr>
              <w:t>Baixo Tietê</w:t>
            </w:r>
          </w:p>
        </w:tc>
        <w:tc>
          <w:tcPr>
            <w:tcW w:type="dxa" w:w="1440"/>
          </w:tcPr>
          <w:p>
            <w:r/>
            <w:r>
              <w:rPr>
                <w:sz w:val="18"/>
              </w:rPr>
              <w:t>OD</w:t>
            </w:r>
          </w:p>
        </w:tc>
        <w:tc>
          <w:tcPr>
            <w:tcW w:type="dxa" w:w="1440"/>
          </w:tcPr>
          <w:p>
            <w:r/>
            <w:r>
              <w:rPr>
                <w:sz w:val="18"/>
              </w:rPr>
              <w:t>11</w:t>
            </w:r>
          </w:p>
        </w:tc>
        <w:tc>
          <w:tcPr>
            <w:tcW w:type="dxa" w:w="1440"/>
          </w:tcPr>
          <w:p>
            <w:r/>
            <w:r>
              <w:rPr>
                <w:sz w:val="18"/>
              </w:rPr>
              <w:t>0,37</w:t>
            </w:r>
          </w:p>
        </w:tc>
        <w:tc>
          <w:tcPr>
            <w:tcW w:type="dxa" w:w="1440"/>
          </w:tcPr>
          <w:p>
            <w:r/>
            <w:r>
              <w:rPr>
                <w:sz w:val="18"/>
              </w:rPr>
              <w:t>0,56</w:t>
            </w:r>
          </w:p>
        </w:tc>
        <w:tc>
          <w:tcPr>
            <w:tcW w:type="dxa" w:w="1440"/>
          </w:tcPr>
          <w:p>
            <w:r/>
            <w:r>
              <w:rPr>
                <w:color w:val="0CA30C"/>
                <w:sz w:val="18"/>
              </w:rPr>
              <w:t>63,6%</w:t>
            </w:r>
          </w:p>
        </w:tc>
      </w:tr>
    </w:tbl>
    <w:tbl>
      <w:tblPr>
        <w:tblW w:type="auto" w:w="0"/>
        <w:tblLook w:firstColumn="1" w:firstRow="1" w:lastColumn="0" w:lastRow="0" w:noHBand="0" w:noVBand="1" w:val="04A0"/>
      </w:tblPr>
      <w:tblGrid>
        <w:gridCol w:w="8640"/>
      </w:tblGrid>
      <w:tr>
        <w:tc>
          <w:tcPr>
            <w:tcW w:type="dxa" w:w="8640"/>
            <w:shd w:fill="FBEAEA"/>
          </w:tcPr>
          <w:p>
            <w:r/>
            <w:r>
              <w:rPr>
                <w:b/>
                <w:color w:val="D03B3B"/>
                <w:sz w:val="17"/>
              </w:rPr>
              <w:t>ACHADO</w:t>
            </w:r>
          </w:p>
          <w:p>
            <w:r>
              <w:rPr>
                <w:sz w:val="19"/>
              </w:rPr>
              <w:t>A validação walk-forward confirma o padrão do split único, com mais robustez estatística (11 folds em vez de</w:t>
              <w:br/>
              <w:t xml:space="preserve">1): </w:t>
            </w:r>
            <w:r>
              <w:rPr>
                <w:b/>
                <w:sz w:val="19"/>
              </w:rPr>
              <w:t>Alto Tietê bate o baseline em só 36,4% dos anos testados</w:t>
            </w:r>
            <w:r>
              <w:rPr>
                <w:sz w:val="19"/>
              </w:rPr>
              <w:t xml:space="preserve"> (para os dois alvos) — pior que</w:t>
              <w:br/>
              <w:t xml:space="preserve">uma moeda honesta —, enquanto </w:t>
            </w:r>
            <w:r>
              <w:rPr>
                <w:b/>
                <w:sz w:val="19"/>
              </w:rPr>
              <w:t>Médio Tietê (IQA) bate em 81,8% dos anos</w:t>
            </w:r>
            <w:r>
              <w:rPr>
                <w:sz w:val="19"/>
              </w:rPr>
              <w:t>, o resultado mais</w:t>
              <w:br/>
              <w:t>consistente de todo o conjunto. R² não é reportado para o walk-forward porque cada fold testa um único ano</w:t>
              <w:br/>
              <w:t>(indefinido estatisticamente com 1 ponto) — MAE médio e "% de folds que batem o baseline" são as métricas</w:t>
              <w:br/>
              <w:t>válidas aqui.</w:t>
            </w:r>
          </w:p>
        </w:tc>
      </w:tr>
    </w:tbl>
    <w:p/>
    <w:p>
      <w:pPr>
        <w:jc w:val="center"/>
      </w:pPr>
      <w:r>
        <w:drawing>
          <wp:inline xmlns:a="http://schemas.openxmlformats.org/drawingml/2006/main" xmlns:pic="http://schemas.openxmlformats.org/drawingml/2006/picture">
            <wp:extent cx="5580000" cy="4115250"/>
            <wp:docPr id="23" name="Picture 23"/>
            <wp:cNvGraphicFramePr>
              <a:graphicFrameLocks noChangeAspect="1"/>
            </wp:cNvGraphicFramePr>
            <a:graphic>
              <a:graphicData uri="http://schemas.openxmlformats.org/drawingml/2006/picture">
                <pic:pic>
                  <pic:nvPicPr>
                    <pic:cNvPr id="0" name="alto_tiete_iqa_shap_bar.png"/>
                    <pic:cNvPicPr/>
                  </pic:nvPicPr>
                  <pic:blipFill>
                    <a:blip r:embed="rId31"/>
                    <a:stretch>
                      <a:fillRect/>
                    </a:stretch>
                  </pic:blipFill>
                  <pic:spPr>
                    <a:xfrm>
                      <a:off x="0" y="0"/>
                      <a:ext cx="5580000" cy="4115250"/>
                    </a:xfrm>
                    <a:prstGeom prst="rect"/>
                  </pic:spPr>
                </pic:pic>
              </a:graphicData>
            </a:graphic>
          </wp:inline>
        </w:drawing>
      </w:r>
    </w:p>
    <w:p>
      <w:pPr>
        <w:jc w:val="center"/>
      </w:pPr>
      <w:r>
        <w:rPr>
          <w:i/>
          <w:color w:val="6B6F68"/>
          <w:sz w:val="18"/>
        </w:rPr>
        <w:t>Importância |SHAP| — Alto Tietê, IQA (não bate o baseline).</w:t>
      </w:r>
    </w:p>
    <w:p>
      <w:pPr>
        <w:jc w:val="center"/>
      </w:pPr>
      <w:r>
        <w:drawing>
          <wp:inline xmlns:a="http://schemas.openxmlformats.org/drawingml/2006/main" xmlns:pic="http://schemas.openxmlformats.org/drawingml/2006/picture">
            <wp:extent cx="5580000" cy="4115250"/>
            <wp:docPr id="24" name="Picture 24"/>
            <wp:cNvGraphicFramePr>
              <a:graphicFrameLocks noChangeAspect="1"/>
            </wp:cNvGraphicFramePr>
            <a:graphic>
              <a:graphicData uri="http://schemas.openxmlformats.org/drawingml/2006/picture">
                <pic:pic>
                  <pic:nvPicPr>
                    <pic:cNvPr id="0" name="alto_tiete_iqa_shap_beeswarm.png"/>
                    <pic:cNvPicPr/>
                  </pic:nvPicPr>
                  <pic:blipFill>
                    <a:blip r:embed="rId32"/>
                    <a:stretch>
                      <a:fillRect/>
                    </a:stretch>
                  </pic:blipFill>
                  <pic:spPr>
                    <a:xfrm>
                      <a:off x="0" y="0"/>
                      <a:ext cx="5580000" cy="4115250"/>
                    </a:xfrm>
                    <a:prstGeom prst="rect"/>
                  </pic:spPr>
                </pic:pic>
              </a:graphicData>
            </a:graphic>
          </wp:inline>
        </w:drawing>
      </w:r>
    </w:p>
    <w:p>
      <w:pPr>
        <w:jc w:val="center"/>
      </w:pPr>
      <w:r>
        <w:rPr>
          <w:i/>
          <w:color w:val="6B6F68"/>
          <w:sz w:val="18"/>
        </w:rPr>
        <w:t>Distribuição do impacto SHAP — Alto Tietê, IQA.</w:t>
      </w:r>
    </w:p>
    <w:p>
      <w:pPr>
        <w:jc w:val="center"/>
      </w:pPr>
      <w:r>
        <w:drawing>
          <wp:inline xmlns:a="http://schemas.openxmlformats.org/drawingml/2006/main" xmlns:pic="http://schemas.openxmlformats.org/drawingml/2006/picture">
            <wp:extent cx="5580000" cy="4115250"/>
            <wp:docPr id="25" name="Picture 25"/>
            <wp:cNvGraphicFramePr>
              <a:graphicFrameLocks noChangeAspect="1"/>
            </wp:cNvGraphicFramePr>
            <a:graphic>
              <a:graphicData uri="http://schemas.openxmlformats.org/drawingml/2006/picture">
                <pic:pic>
                  <pic:nvPicPr>
                    <pic:cNvPr id="0" name="baixo_tiete_iqa_shap_bar.png"/>
                    <pic:cNvPicPr/>
                  </pic:nvPicPr>
                  <pic:blipFill>
                    <a:blip r:embed="rId33"/>
                    <a:stretch>
                      <a:fillRect/>
                    </a:stretch>
                  </pic:blipFill>
                  <pic:spPr>
                    <a:xfrm>
                      <a:off x="0" y="0"/>
                      <a:ext cx="5580000" cy="4115250"/>
                    </a:xfrm>
                    <a:prstGeom prst="rect"/>
                  </pic:spPr>
                </pic:pic>
              </a:graphicData>
            </a:graphic>
          </wp:inline>
        </w:drawing>
      </w:r>
    </w:p>
    <w:p>
      <w:pPr>
        <w:jc w:val="center"/>
      </w:pPr>
      <w:r>
        <w:rPr>
          <w:i/>
          <w:color w:val="6B6F68"/>
          <w:sz w:val="18"/>
        </w:rPr>
        <w:t>Importância |SHAP| — Baixo Tietê, IQA (bate o baseline, walk-forward em 63,6% dos anos).</w:t>
      </w:r>
    </w:p>
    <w:p>
      <w:pPr>
        <w:jc w:val="center"/>
      </w:pPr>
      <w:r>
        <w:drawing>
          <wp:inline xmlns:a="http://schemas.openxmlformats.org/drawingml/2006/main" xmlns:pic="http://schemas.openxmlformats.org/drawingml/2006/picture">
            <wp:extent cx="5580000" cy="4115250"/>
            <wp:docPr id="26" name="Picture 26"/>
            <wp:cNvGraphicFramePr>
              <a:graphicFrameLocks noChangeAspect="1"/>
            </wp:cNvGraphicFramePr>
            <a:graphic>
              <a:graphicData uri="http://schemas.openxmlformats.org/drawingml/2006/picture">
                <pic:pic>
                  <pic:nvPicPr>
                    <pic:cNvPr id="0" name="baixo_tiete_iqa_shap_beeswarm.png"/>
                    <pic:cNvPicPr/>
                  </pic:nvPicPr>
                  <pic:blipFill>
                    <a:blip r:embed="rId34"/>
                    <a:stretch>
                      <a:fillRect/>
                    </a:stretch>
                  </pic:blipFill>
                  <pic:spPr>
                    <a:xfrm>
                      <a:off x="0" y="0"/>
                      <a:ext cx="5580000" cy="4115250"/>
                    </a:xfrm>
                    <a:prstGeom prst="rect"/>
                  </pic:spPr>
                </pic:pic>
              </a:graphicData>
            </a:graphic>
          </wp:inline>
        </w:drawing>
      </w:r>
    </w:p>
    <w:p>
      <w:pPr>
        <w:jc w:val="center"/>
      </w:pPr>
      <w:r>
        <w:rPr>
          <w:i/>
          <w:color w:val="6B6F68"/>
          <w:sz w:val="18"/>
        </w:rPr>
        <w:t>Distribuição do impacto SHAP — Baixo Tietê, IQA.</w:t>
      </w:r>
    </w:p>
    <w:p>
      <w:pPr>
        <w:jc w:val="center"/>
      </w:pPr>
      <w:r>
        <w:drawing>
          <wp:inline xmlns:a="http://schemas.openxmlformats.org/drawingml/2006/main" xmlns:pic="http://schemas.openxmlformats.org/drawingml/2006/picture">
            <wp:extent cx="5580000" cy="4115250"/>
            <wp:docPr id="27" name="Picture 27"/>
            <wp:cNvGraphicFramePr>
              <a:graphicFrameLocks noChangeAspect="1"/>
            </wp:cNvGraphicFramePr>
            <a:graphic>
              <a:graphicData uri="http://schemas.openxmlformats.org/drawingml/2006/picture">
                <pic:pic>
                  <pic:nvPicPr>
                    <pic:cNvPr id="0" name="medio_tiete_od_mg_l_shap_bar.png"/>
                    <pic:cNvPicPr/>
                  </pic:nvPicPr>
                  <pic:blipFill>
                    <a:blip r:embed="rId35"/>
                    <a:stretch>
                      <a:fillRect/>
                    </a:stretch>
                  </pic:blipFill>
                  <pic:spPr>
                    <a:xfrm>
                      <a:off x="0" y="0"/>
                      <a:ext cx="5580000" cy="4115250"/>
                    </a:xfrm>
                    <a:prstGeom prst="rect"/>
                  </pic:spPr>
                </pic:pic>
              </a:graphicData>
            </a:graphic>
          </wp:inline>
        </w:drawing>
      </w:r>
    </w:p>
    <w:p>
      <w:pPr>
        <w:jc w:val="center"/>
      </w:pPr>
      <w:r>
        <w:rPr>
          <w:i/>
          <w:color w:val="6B6F68"/>
          <w:sz w:val="18"/>
        </w:rPr>
        <w:t>Importância |SHAP| — Médio Tietê, OD (melhor R² do conjunto no split único, 0,04).</w:t>
      </w:r>
    </w:p>
    <w:p>
      <w:pPr>
        <w:jc w:val="center"/>
      </w:pPr>
      <w:r>
        <w:drawing>
          <wp:inline xmlns:a="http://schemas.openxmlformats.org/drawingml/2006/main" xmlns:pic="http://schemas.openxmlformats.org/drawingml/2006/picture">
            <wp:extent cx="5580000" cy="4115250"/>
            <wp:docPr id="28" name="Picture 28"/>
            <wp:cNvGraphicFramePr>
              <a:graphicFrameLocks noChangeAspect="1"/>
            </wp:cNvGraphicFramePr>
            <a:graphic>
              <a:graphicData uri="http://schemas.openxmlformats.org/drawingml/2006/picture">
                <pic:pic>
                  <pic:nvPicPr>
                    <pic:cNvPr id="0" name="medio_tiete_od_mg_l_shap_beeswarm.png"/>
                    <pic:cNvPicPr/>
                  </pic:nvPicPr>
                  <pic:blipFill>
                    <a:blip r:embed="rId36"/>
                    <a:stretch>
                      <a:fillRect/>
                    </a:stretch>
                  </pic:blipFill>
                  <pic:spPr>
                    <a:xfrm>
                      <a:off x="0" y="0"/>
                      <a:ext cx="5580000" cy="4115250"/>
                    </a:xfrm>
                    <a:prstGeom prst="rect"/>
                  </pic:spPr>
                </pic:pic>
              </a:graphicData>
            </a:graphic>
          </wp:inline>
        </w:drawing>
      </w:r>
    </w:p>
    <w:p>
      <w:pPr>
        <w:jc w:val="center"/>
      </w:pPr>
      <w:r>
        <w:rPr>
          <w:i/>
          <w:color w:val="6B6F68"/>
          <w:sz w:val="18"/>
        </w:rPr>
        <w:t>Distribuição do impacto SHAP — Médio Tietê, OD.</w:t>
      </w:r>
    </w:p>
    <w:p>
      <w:pPr>
        <w:jc w:val="center"/>
      </w:pPr>
      <w:r>
        <w:drawing>
          <wp:inline xmlns:a="http://schemas.openxmlformats.org/drawingml/2006/main" xmlns:pic="http://schemas.openxmlformats.org/drawingml/2006/picture">
            <wp:extent cx="5580000" cy="4115250"/>
            <wp:docPr id="29" name="Picture 29"/>
            <wp:cNvGraphicFramePr>
              <a:graphicFrameLocks noChangeAspect="1"/>
            </wp:cNvGraphicFramePr>
            <a:graphic>
              <a:graphicData uri="http://schemas.openxmlformats.org/drawingml/2006/picture">
                <pic:pic>
                  <pic:nvPicPr>
                    <pic:cNvPr id="0" name="alto_tiete_od_mg_l_shap_bar.png"/>
                    <pic:cNvPicPr/>
                  </pic:nvPicPr>
                  <pic:blipFill>
                    <a:blip r:embed="rId37"/>
                    <a:stretch>
                      <a:fillRect/>
                    </a:stretch>
                  </pic:blipFill>
                  <pic:spPr>
                    <a:xfrm>
                      <a:off x="0" y="0"/>
                      <a:ext cx="5580000" cy="4115250"/>
                    </a:xfrm>
                    <a:prstGeom prst="rect"/>
                  </pic:spPr>
                </pic:pic>
              </a:graphicData>
            </a:graphic>
          </wp:inline>
        </w:drawing>
      </w:r>
    </w:p>
    <w:p>
      <w:pPr>
        <w:jc w:val="center"/>
      </w:pPr>
      <w:r>
        <w:rPr>
          <w:i/>
          <w:color w:val="6B6F68"/>
          <w:sz w:val="18"/>
        </w:rPr>
        <w:t>Importância |SHAP| — Alto Tietê, OD (pior caso do conjunto, R²=-4,63 no split único).</w:t>
      </w:r>
    </w:p>
    <w:p>
      <w:pPr>
        <w:jc w:val="center"/>
      </w:pPr>
      <w:r>
        <w:drawing>
          <wp:inline xmlns:a="http://schemas.openxmlformats.org/drawingml/2006/main" xmlns:pic="http://schemas.openxmlformats.org/drawingml/2006/picture">
            <wp:extent cx="5580000" cy="4115250"/>
            <wp:docPr id="30" name="Picture 30"/>
            <wp:cNvGraphicFramePr>
              <a:graphicFrameLocks noChangeAspect="1"/>
            </wp:cNvGraphicFramePr>
            <a:graphic>
              <a:graphicData uri="http://schemas.openxmlformats.org/drawingml/2006/picture">
                <pic:pic>
                  <pic:nvPicPr>
                    <pic:cNvPr id="0" name="alto_tiete_od_mg_l_shap_beeswarm.png"/>
                    <pic:cNvPicPr/>
                  </pic:nvPicPr>
                  <pic:blipFill>
                    <a:blip r:embed="rId38"/>
                    <a:stretch>
                      <a:fillRect/>
                    </a:stretch>
                  </pic:blipFill>
                  <pic:spPr>
                    <a:xfrm>
                      <a:off x="0" y="0"/>
                      <a:ext cx="5580000" cy="4115250"/>
                    </a:xfrm>
                    <a:prstGeom prst="rect"/>
                  </pic:spPr>
                </pic:pic>
              </a:graphicData>
            </a:graphic>
          </wp:inline>
        </w:drawing>
      </w:r>
    </w:p>
    <w:p>
      <w:pPr>
        <w:jc w:val="center"/>
      </w:pPr>
      <w:r>
        <w:rPr>
          <w:i/>
          <w:color w:val="6B6F68"/>
          <w:sz w:val="18"/>
        </w:rPr>
        <w:t>Distribuição do impacto SHAP — Alto Tietê, OD.</w:t>
      </w:r>
    </w:p>
    <w:tbl>
      <w:tblPr>
        <w:tblW w:type="auto" w:w="0"/>
        <w:tblLook w:firstColumn="1" w:firstRow="1" w:lastColumn="0" w:lastRow="0" w:noHBand="0" w:noVBand="1" w:val="04A0"/>
      </w:tblPr>
      <w:tblGrid>
        <w:gridCol w:w="8640"/>
      </w:tblGrid>
      <w:tr>
        <w:tc>
          <w:tcPr>
            <w:tcW w:type="dxa" w:w="8640"/>
            <w:shd w:fill="EAF1FB"/>
          </w:tcPr>
          <w:p>
            <w:r/>
            <w:r>
              <w:rPr>
                <w:b/>
                <w:color w:val="2A78D6"/>
                <w:sz w:val="17"/>
              </w:rPr>
              <w:t>USO DO SOLO COMO DRIVER REAL (SHAP "DRIVERS", SEM LAGS DO ALVO)</w:t>
            </w:r>
          </w:p>
          <w:p>
            <w:r>
              <w:rPr>
                <w:sz w:val="19"/>
              </w:rPr>
              <w:t>Um segundo modelo SHAP — sem os lags do próprio alvo, que dominam por autocorrelação — isola o que</w:t>
              <w:br/>
              <w:t xml:space="preserve">genuinamente explica a qualidade da água. No Médio Tietê, </w:t>
            </w:r>
            <w:r>
              <w:rPr>
                <w:rFonts w:ascii="Consolas" w:hAnsi="Consolas"/>
                <w:color w:val="2A78D6"/>
                <w:sz w:val="19"/>
              </w:rPr>
              <w:t>% Urbano/Industrial</w:t>
            </w:r>
            <w:r>
              <w:rPr>
                <w:sz w:val="19"/>
              </w:rPr>
              <w:t xml:space="preserve"> é o 2º fator mais</w:t>
              <w:br/>
              <w:t>importante para prever OD (atrás só da tendência secular/ano, à frente de vazão e chuva), e</w:t>
              <w:br/>
            </w:r>
            <w:r>
              <w:rPr>
                <w:rFonts w:ascii="Consolas" w:hAnsi="Consolas"/>
                <w:color w:val="2A78D6"/>
                <w:sz w:val="19"/>
              </w:rPr>
              <w:t>% Agropecuária</w:t>
            </w:r>
            <w:r>
              <w:rPr>
                <w:sz w:val="19"/>
              </w:rPr>
              <w:t xml:space="preserve"> aparece em 3º — uso do solo real (Seção 25) virou, pela primeira vez neste projeto,</w:t>
              <w:br/>
              <w:t>um driver interpretável, não só um substituto categórico (</w:t>
            </w:r>
            <w:r>
              <w:rPr>
                <w:rFonts w:ascii="Consolas" w:hAnsi="Consolas"/>
                <w:color w:val="2A78D6"/>
                <w:sz w:val="19"/>
              </w:rPr>
              <w:t>trecho_id</w:t>
            </w:r>
            <w:r>
              <w:rPr>
                <w:sz w:val="19"/>
              </w:rPr>
              <w:t>).</w:t>
            </w:r>
          </w:p>
        </w:tc>
      </w:tr>
    </w:tbl>
    <w:p/>
    <w:p>
      <w:pPr>
        <w:jc w:val="center"/>
      </w:pPr>
      <w:r>
        <w:drawing>
          <wp:inline xmlns:a="http://schemas.openxmlformats.org/drawingml/2006/main" xmlns:pic="http://schemas.openxmlformats.org/drawingml/2006/picture">
            <wp:extent cx="5580000" cy="4115250"/>
            <wp:docPr id="31" name="Picture 31"/>
            <wp:cNvGraphicFramePr>
              <a:graphicFrameLocks noChangeAspect="1"/>
            </wp:cNvGraphicFramePr>
            <a:graphic>
              <a:graphicData uri="http://schemas.openxmlformats.org/drawingml/2006/picture">
                <pic:pic>
                  <pic:nvPicPr>
                    <pic:cNvPr id="0" name="medio_tiete_iqa_shap_bar.png"/>
                    <pic:cNvPicPr/>
                  </pic:nvPicPr>
                  <pic:blipFill>
                    <a:blip r:embed="rId39"/>
                    <a:stretch>
                      <a:fillRect/>
                    </a:stretch>
                  </pic:blipFill>
                  <pic:spPr>
                    <a:xfrm>
                      <a:off x="0" y="0"/>
                      <a:ext cx="5580000" cy="4115250"/>
                    </a:xfrm>
                    <a:prstGeom prst="rect"/>
                  </pic:spPr>
                </pic:pic>
              </a:graphicData>
            </a:graphic>
          </wp:inline>
        </w:drawing>
      </w:r>
    </w:p>
    <w:p>
      <w:pPr>
        <w:jc w:val="center"/>
      </w:pPr>
      <w:r>
        <w:rPr>
          <w:i/>
          <w:color w:val="6B6F68"/>
          <w:sz w:val="18"/>
        </w:rPr>
        <w:t>Importância |SHAP| — Médio Tietê, IQA.</w:t>
      </w:r>
    </w:p>
    <w:p>
      <w:pPr>
        <w:jc w:val="center"/>
      </w:pPr>
      <w:r>
        <w:drawing>
          <wp:inline xmlns:a="http://schemas.openxmlformats.org/drawingml/2006/main" xmlns:pic="http://schemas.openxmlformats.org/drawingml/2006/picture">
            <wp:extent cx="5580000" cy="4115250"/>
            <wp:docPr id="32" name="Picture 32"/>
            <wp:cNvGraphicFramePr>
              <a:graphicFrameLocks noChangeAspect="1"/>
            </wp:cNvGraphicFramePr>
            <a:graphic>
              <a:graphicData uri="http://schemas.openxmlformats.org/drawingml/2006/picture">
                <pic:pic>
                  <pic:nvPicPr>
                    <pic:cNvPr id="0" name="baixo_tiete_od_mg_l_shap_bar.png"/>
                    <pic:cNvPicPr/>
                  </pic:nvPicPr>
                  <pic:blipFill>
                    <a:blip r:embed="rId40"/>
                    <a:stretch>
                      <a:fillRect/>
                    </a:stretch>
                  </pic:blipFill>
                  <pic:spPr>
                    <a:xfrm>
                      <a:off x="0" y="0"/>
                      <a:ext cx="5580000" cy="4115250"/>
                    </a:xfrm>
                    <a:prstGeom prst="rect"/>
                  </pic:spPr>
                </pic:pic>
              </a:graphicData>
            </a:graphic>
          </wp:inline>
        </w:drawing>
      </w:r>
    </w:p>
    <w:p>
      <w:pPr>
        <w:jc w:val="center"/>
      </w:pPr>
      <w:r>
        <w:rPr>
          <w:i/>
          <w:color w:val="6B6F68"/>
          <w:sz w:val="18"/>
        </w:rPr>
        <w:t>Importância |SHAP| — Baixo Tietê, OD (maior redução de MAE do conjunto, +38,2%).</w:t>
      </w:r>
    </w:p>
    <w:p>
      <w:r>
        <w:t xml:space="preserve">Em quase todos os modelos, </w:t>
      </w:r>
      <w:r>
        <w:rPr>
          <w:rFonts w:ascii="Consolas" w:hAnsi="Consolas"/>
          <w:color w:val="2A78D6"/>
          <w:sz w:val="19"/>
        </w:rPr>
        <w:t>{alvo}_media_movel_5a</w:t>
      </w:r>
      <w:r>
        <w:t xml:space="preserve"> e o próprio </w:t>
      </w:r>
      <w:r>
        <w:rPr>
          <w:rFonts w:ascii="Consolas" w:hAnsi="Consolas"/>
          <w:color w:val="2A78D6"/>
          <w:sz w:val="19"/>
        </w:rPr>
        <w:t>ano</w:t>
      </w:r>
      <w:r>
        <w:t xml:space="preserve"> dominam a</w:t>
        <w:br/>
        <w:t>importância SHAP (mais que vazão/chuva/uso do solo) — os modelos aprendem majoritariamente a tendência secular</w:t>
        <w:br/>
        <w:t>de longo prazo (a mesma piora estrutural confirmada pelo Mann-Kendall, Seção 11) e a inércia de curto prazo, não</w:t>
        <w:br/>
        <w:t>uma relação causal nova com hidrologia. Isso é uma limitação a declarar, reforçada agora pela avaliação por</w:t>
        <w:br/>
        <w:t xml:space="preserve">trecho: estes modelos servem para </w:t>
      </w:r>
      <w:r>
        <w:rPr>
          <w:i/>
        </w:rPr>
        <w:t>nowcasting</w:t>
      </w:r>
      <w:r>
        <w:t xml:space="preserve"> em Médio/Baixo Tietê, não para simular o efeito de uma</w:t>
        <w:br/>
        <w:t>intervenção (ex.: "e se dobrarmos o tratamento de esgoto?") — para isso o projeto usa o modelo baseado em agentes</w:t>
        <w:br/>
        <w:t>(ABM) da tela Cenários Futuros, não o RandomForest. O Alto Tietê especificamente NÃO melhorou mesmo depois de</w:t>
        <w:br/>
        <w:t>uso do solo real ter sido adicionado como preditora (Seção 25) — a limitação não é falta de uma variável</w:t>
        <w:br/>
        <w:t>específica, é a variabilidade ano a ano em si, dado o histórico disponível.</w:t>
      </w:r>
    </w:p>
    <w:p>
      <w:pPr>
        <w:pStyle w:val="Heading3"/>
      </w:pPr>
      <w:r>
        <w:t>15.2 — Matriz de confusão: classificador de status ecológico</w:t>
      </w:r>
    </w:p>
    <w:p>
      <w:r>
        <w:t>Construímos um classificador (RandomForestClassifier, mesma divisão treino/teste por ano do restante do</w:t>
        <w:br/>
        <w:t>projeto: treino &lt;2015, teste ≥2015) que prevê a classe de status (Bom/Atenção/Sério/Crítico, limiares já</w:t>
        <w:br/>
        <w:t>oficiais do dashboard) a partir de trecho, mês, vazão, chuva e dos lags de IQA/OD.</w:t>
      </w:r>
    </w:p>
    <w:p>
      <w:pPr>
        <w:jc w:val="center"/>
      </w:pPr>
      <w:r>
        <w:drawing>
          <wp:inline xmlns:a="http://schemas.openxmlformats.org/drawingml/2006/main" xmlns:pic="http://schemas.openxmlformats.org/drawingml/2006/picture">
            <wp:extent cx="5580000" cy="5038771"/>
            <wp:docPr id="33" name="Picture 33"/>
            <wp:cNvGraphicFramePr>
              <a:graphicFrameLocks noChangeAspect="1"/>
            </wp:cNvGraphicFramePr>
            <a:graphic>
              <a:graphicData uri="http://schemas.openxmlformats.org/drawingml/2006/picture">
                <pic:pic>
                  <pic:nvPicPr>
                    <pic:cNvPr id="0" name="matriz_confusao_status.png"/>
                    <pic:cNvPicPr/>
                  </pic:nvPicPr>
                  <pic:blipFill>
                    <a:blip r:embed="rId41"/>
                    <a:stretch>
                      <a:fillRect/>
                    </a:stretch>
                  </pic:blipFill>
                  <pic:spPr>
                    <a:xfrm>
                      <a:off x="0" y="0"/>
                      <a:ext cx="5580000" cy="5038771"/>
                    </a:xfrm>
                    <a:prstGeom prst="rect"/>
                  </pic:spPr>
                </pic:pic>
              </a:graphicData>
            </a:graphic>
          </wp:inline>
        </w:drawing>
      </w:r>
    </w:p>
    <w:p>
      <w:pPr>
        <w:jc w:val="center"/>
      </w:pPr>
      <w:r>
        <w:rPr>
          <w:i/>
          <w:color w:val="6B6F68"/>
          <w:sz w:val="18"/>
        </w:rPr>
        <w:t>Matriz de confusão — teste 2015-2024, acurácia</w:t>
        <w:br/>
        <w:t>82,6%.</w:t>
      </w:r>
    </w:p>
    <w:p>
      <w:r>
        <w:t>O modelo tem precisão e recall perfeitos na classe "Bom" (só o Baixo Tietê chega lá) e recall perfeito em</w:t>
        <w:br/>
        <w:t>"Crítico" (nunca deixa passar um caso crítico como não-crítico — importante para um sistema de alerta, mesmo à</w:t>
        <w:br/>
        <w:t>custa de mais falsos positivos, precisão 0,60). A classe mais difícil é "Atenção" (recall 0,375) — o estágio</w:t>
        <w:br/>
        <w:t>intermediário de transição é, esperadamente, o mais ambíguo de classificar, e onde uma eventual ferramenta de</w:t>
        <w:br/>
        <w:t>alerta automatizado precisaria de mais cautela humana.</w:t>
      </w:r>
    </w:p>
    <w:p>
      <w:pPr>
        <w:pStyle w:val="Heading3"/>
      </w:pPr>
      <w:r>
        <w:t>15.3 — Matriz de dispersão geral (granularidade mensal)</w:t>
      </w:r>
    </w:p>
    <w:p>
      <w:pPr>
        <w:jc w:val="center"/>
      </w:pPr>
      <w:r>
        <w:drawing>
          <wp:inline xmlns:a="http://schemas.openxmlformats.org/drawingml/2006/main" xmlns:pic="http://schemas.openxmlformats.org/drawingml/2006/picture">
            <wp:extent cx="5580000" cy="5730186"/>
            <wp:docPr id="34" name="Picture 34"/>
            <wp:cNvGraphicFramePr>
              <a:graphicFrameLocks noChangeAspect="1"/>
            </wp:cNvGraphicFramePr>
            <a:graphic>
              <a:graphicData uri="http://schemas.openxmlformats.org/drawingml/2006/picture">
                <pic:pic>
                  <pic:nvPicPr>
                    <pic:cNvPr id="0" name="scatter_matrix_mensal.png"/>
                    <pic:cNvPicPr/>
                  </pic:nvPicPr>
                  <pic:blipFill>
                    <a:blip r:embed="rId42"/>
                    <a:stretch>
                      <a:fillRect/>
                    </a:stretch>
                  </pic:blipFill>
                  <pic:spPr>
                    <a:xfrm>
                      <a:off x="0" y="0"/>
                      <a:ext cx="5580000" cy="5730186"/>
                    </a:xfrm>
                    <a:prstGeom prst="rect"/>
                  </pic:spPr>
                </pic:pic>
              </a:graphicData>
            </a:graphic>
          </wp:inline>
        </w:drawing>
      </w:r>
    </w:p>
    <w:p>
      <w:pPr>
        <w:jc w:val="center"/>
      </w:pPr>
      <w:r>
        <w:rPr>
          <w:i/>
          <w:color w:val="6B6F68"/>
          <w:sz w:val="18"/>
        </w:rPr>
        <w:t>Vazão, chuva, IQA, OD e DBO — granularidade mensal</w:t>
        <w:br/>
        <w:t>(gold.serie_temporal_trecho_mes), colorido por trecho, amostra de 3.000 pontos.</w:t>
      </w:r>
    </w:p>
    <w:p>
      <w:r>
        <w:t>Em granularidade mensal, os clusters por trecho continuam bem separados nos eixos de qualidade (IQA/OD/DBO),</w:t>
        <w:br/>
        <w:t xml:space="preserve">mas se sobrepõem parcialmente nos eixos hidrológicos (vazão/chuva) — reforçando que </w:t>
      </w:r>
      <w:r>
        <w:rPr>
          <w:b/>
        </w:rPr>
        <w:t>trecho</w:t>
      </w:r>
      <w:r>
        <w:br/>
        <w:t>(proxy de pressão antrópica/urbanização) explica mais variância na qualidade da água do que o regime hidrológico</w:t>
        <w:br/>
        <w:t>do mês, no horizonte de dados disponível.</w:t>
      </w:r>
    </w:p>
    <w:p>
      <w:r>
        <w:br w:type="page"/>
      </w:r>
    </w:p>
    <w:p>
      <w:pPr>
        <w:pStyle w:val="Heading1"/>
      </w:pPr>
      <w:r>
        <w:t>16 — Painel executivo integrado</w:t>
      </w:r>
    </w:p>
    <w:p>
      <w:r>
        <w:t>Síntese visual das quatro descobertas mais acionáveis desta EDA: o estado atual do IQA por trecho,</w:t>
        <w:br/>
        <w:t>quantas séries têm piora estatisticamente comprovada, quais parâmetros mais se associam à queda de oxigênio, e a</w:t>
        <w:br/>
        <w:t>performance do classificador de status.</w:t>
      </w:r>
    </w:p>
    <w:p>
      <w:pPr>
        <w:jc w:val="center"/>
      </w:pPr>
      <w:r>
        <w:drawing>
          <wp:inline xmlns:a="http://schemas.openxmlformats.org/drawingml/2006/main" xmlns:pic="http://schemas.openxmlformats.org/drawingml/2006/picture">
            <wp:extent cx="5580000" cy="4018595"/>
            <wp:docPr id="35" name="Picture 35"/>
            <wp:cNvGraphicFramePr>
              <a:graphicFrameLocks noChangeAspect="1"/>
            </wp:cNvGraphicFramePr>
            <a:graphic>
              <a:graphicData uri="http://schemas.openxmlformats.org/drawingml/2006/picture">
                <pic:pic>
                  <pic:nvPicPr>
                    <pic:cNvPr id="0" name="painel_executivo.png"/>
                    <pic:cNvPicPr/>
                  </pic:nvPicPr>
                  <pic:blipFill>
                    <a:blip r:embed="rId43"/>
                    <a:stretch>
                      <a:fillRect/>
                    </a:stretch>
                  </pic:blipFill>
                  <pic:spPr>
                    <a:xfrm>
                      <a:off x="0" y="0"/>
                      <a:ext cx="5580000" cy="4018595"/>
                    </a:xfrm>
                    <a:prstGeom prst="rect"/>
                  </pic:spPr>
                </pic:pic>
              </a:graphicData>
            </a:graphic>
          </wp:inline>
        </w:drawing>
      </w:r>
    </w:p>
    <w:p>
      <w:pPr>
        <w:jc w:val="center"/>
      </w:pPr>
      <w:r>
        <w:rPr>
          <w:i/>
          <w:color w:val="6B6F68"/>
          <w:sz w:val="18"/>
        </w:rPr>
        <w:t>Painel executivo — Rio Tietê, dado real CETESB/DAEE.</w:t>
      </w:r>
    </w:p>
    <w:p>
      <w:pPr>
        <w:pStyle w:val="Heading3"/>
      </w:pPr>
      <w:r>
        <w:t>Síntese em 7 pontos</w:t>
      </w:r>
    </w:p>
    <w:p>
      <w:pPr>
        <w:pStyle w:val="ListNumber"/>
      </w:pPr>
      <w:r>
        <w:rPr>
          <w:b/>
        </w:rPr>
        <w:t>Gradiente espacial estrutural:</w:t>
      </w:r>
      <w:r>
        <w:t xml:space="preserve"> no último ano com medição real de cada trecho, o IQA varia de</w:t>
        <w:br/>
        <w:t>13,4 (Alto Tietê, "Crítico") a 78,2 (Baixo Tietê, "Bom") — um fator de 5,8× ao longo do próprio rio, dominado pela</w:t>
        <w:br/>
        <w:t>pressão urbana da Região Metropolitana de SP.</w:t>
      </w:r>
    </w:p>
    <w:p>
      <w:pPr>
        <w:pStyle w:val="ListNumber"/>
      </w:pPr>
      <w:r>
        <w:rPr>
          <w:b/>
        </w:rPr>
        <w:t>Oxigênio Dissolvido em queda estatisticamente comprovada nos três trechos</w:t>
      </w:r>
      <w:r>
        <w:t xml:space="preserve"> (Mann-Kendall,</w:t>
        <w:br/>
        <w:t>p&lt;0,001 em todos) — o achado mais robusto do relatório, convergindo 46 anos de dado real.</w:t>
      </w:r>
    </w:p>
    <w:p>
      <w:pPr>
        <w:pStyle w:val="ListNumber"/>
      </w:pPr>
      <w:r>
        <w:rPr>
          <w:b/>
        </w:rPr>
        <w:t>A assinatura de poluição dominante é orgânica/nutriente (esgoto), não metálica:</w:t>
      </w:r>
      <w:r>
        <w:t xml:space="preserve"> Fósforo,</w:t>
        <w:br/>
        <w:t>Nitrogênio Amoniacal, Sólidos, Condutividade e Coliformes correlacionam-se fortemente entre si e com a queda de</w:t>
        <w:br/>
        <w:t>OD (ρ 0,53-0,82); Mercúrio se comporta como pressão independente.</w:t>
      </w:r>
    </w:p>
    <w:p>
      <w:pPr>
        <w:pStyle w:val="ListNumber"/>
      </w:pPr>
      <w:r>
        <w:rPr>
          <w:b/>
        </w:rPr>
        <w:t>Metais pesados são a exceção positiva:</w:t>
      </w:r>
      <w:r>
        <w:t xml:space="preserve"> Cádmio cai significativamente nos três trechos e</w:t>
        <w:br/>
        <w:t>Chumbo/Níquel caem no Alto e Médio Tietê (Mann-Kendall, p&lt;0,01) — evidência de que o controle de efluentes</w:t>
        <w:br/>
        <w:t>industriais parece estar funcionando, mesmo enquanto a poluição orgânica/nutriente piora.</w:t>
      </w:r>
    </w:p>
    <w:p>
      <w:pPr>
        <w:pStyle w:val="ListNumber"/>
      </w:pPr>
      <w:r>
        <w:rPr>
          <w:b/>
        </w:rPr>
        <w:t>Lançamentos pontuais/intermitentes são detectáveis no dado bruto:</w:t>
      </w:r>
      <w:r>
        <w:t xml:space="preserve"> Coliformes e Mercúrio têm</w:t>
        <w:br/>
        <w:t>as maiores taxas de outlier (19,3% e 16,9%), sugerindo eventos agudos que médias anuais escondem.</w:t>
      </w:r>
    </w:p>
    <w:p>
      <w:pPr>
        <w:pStyle w:val="ListNumber"/>
      </w:pPr>
      <w:r>
        <w:rPr>
          <w:b/>
        </w:rPr>
        <w:t>A planilha simulada (fallback) tem estrutura de correlação artificialmente perfeita</w:t>
      </w:r>
      <w:r>
        <w:br/>
        <w:t>(|r|&gt;0,89 entre quase todas as variáveis) — mais um motivo, além da auditoria de proveniência já corrigida no</w:t>
        <w:br/>
        <w:t>pipeline, para tratá-la estritamente como preenchimento de lacuna (1940-1977), nunca como evidência substituta do</w:t>
        <w:br/>
        <w:t>dado real.</w:t>
      </w:r>
    </w:p>
    <w:p>
      <w:pPr>
        <w:pStyle w:val="ListNumber"/>
      </w:pPr>
      <w:r>
        <w:rPr>
          <w:b/>
        </w:rPr>
        <w:t>Qualidade de dado do Baixo Tietê exige cautela:</w:t>
      </w:r>
      <w:r>
        <w:t xml:space="preserve"> só 2 pontos CETESB e uma série de vazão com</w:t>
        <w:br/>
        <w:t>saltos de magnitude implausíveis entre décadas — resultados desse trecho devem ser lidos com intervalo de</w:t>
        <w:br/>
        <w:t>confiança mais largo que Alto/Médio Tietê.</w:t>
      </w:r>
    </w:p>
    <w:p>
      <w:r>
        <w:br w:type="page"/>
      </w:r>
    </w:p>
    <w:p>
      <w:pPr>
        <w:pStyle w:val="Heading1"/>
      </w:pPr>
      <w:r>
        <w:t>17 — As 5 perguntas científicas em aberto</w:t>
      </w:r>
    </w:p>
    <w:p>
      <w:r>
        <w:t>A seguir, cada uma das cinco frentes de investigação é tratada com o mesmo padrão: o que os dados</w:t>
        <w:br/>
        <w:t>já ingeridos pelo pipeline permitem sustentar como evidência indireta, e o que continua sendo, honestamente, uma</w:t>
        <w:br/>
        <w:t>lacuna que exige instrumentação e amostragem que este projeto não possui. Misturar as duas coisas seria o mesmo</w:t>
        <w:br/>
        <w:t>erro de proveniência que motivou a correção anterior do pipeline (tratar proxy/simulação como se fosse medição</w:t>
        <w:br/>
        <w:t>direta).</w:t>
      </w:r>
    </w:p>
    <w:p>
      <w:pPr>
        <w:pStyle w:val="Heading3"/>
      </w:pPr>
      <w:r>
        <w:t>Pergunta 1 — O "Efeito Coquetel" (ecotoxicologia e efeitos combinados)</w:t>
      </w:r>
    </w:p>
    <w:p>
      <w:r>
        <w:rPr>
          <w:i/>
        </w:rPr>
        <w:t>Como a combinação simultânea de agrotóxicos, fármacos, drogas ilícitas e metais pesados interage e afeta organismos vivos?</w:t>
      </w:r>
    </w:p>
    <w:tbl>
      <w:tblPr>
        <w:tblW w:type="auto" w:w="0"/>
        <w:tblLook w:firstColumn="1" w:firstRow="1" w:lastColumn="0" w:lastRow="0" w:noHBand="0" w:noVBand="1" w:val="04A0"/>
      </w:tblPr>
      <w:tblGrid>
        <w:gridCol w:w="4320"/>
        <w:gridCol w:w="4320"/>
      </w:tblGrid>
      <w:tr>
        <w:tc>
          <w:tcPr>
            <w:tcW w:type="dxa" w:w="4320"/>
            <w:shd w:fill="E8F0FB"/>
          </w:tcPr>
          <w:p>
            <w:r/>
            <w:r>
              <w:rPr>
                <w:b/>
                <w:color w:val="2A78D6"/>
                <w:sz w:val="16"/>
              </w:rPr>
              <w:t>O que os dados deste projeto permitem dizer</w:t>
            </w:r>
          </w:p>
          <w:p>
            <w:r>
              <w:rPr>
                <w:sz w:val="18"/>
              </w:rPr>
              <w:t xml:space="preserve">O painel de 13 parâmetros mostra que </w:t>
            </w:r>
            <w:r>
              <w:rPr>
                <w:b/>
                <w:sz w:val="18"/>
              </w:rPr>
              <w:t>múltiplos estressores co-ocorrem no mesmo evento de coleta</w:t>
            </w:r>
            <w:r>
              <w:rPr>
                <w:sz w:val="18"/>
              </w:rPr>
              <w:t xml:space="preserve"> (Fósforo, Nitrogênio Amoniacal, Sólidos, Coliformes e Zinco sobem juntos, ρ 0,53-0,82 entre si — Seção 10) e que o Mercúrio se comporta como pressão independente. Isso é evidência estatística de </w:t>
            </w:r>
            <w:r>
              <w:rPr>
                <w:b/>
                <w:sz w:val="18"/>
              </w:rPr>
              <w:t>co-exposição</w:t>
            </w:r>
            <w:r>
              <w:rPr>
                <w:sz w:val="18"/>
              </w:rPr>
              <w:t xml:space="preserve"> (vários estressores presentes ao mesmo tempo nos mesmos pontos), pré-condição necessária para um efeito coquetel, mas não prova de sinergia toxicológica.</w:t>
            </w:r>
          </w:p>
        </w:tc>
        <w:tc>
          <w:tcPr>
            <w:tcW w:type="dxa" w:w="4320"/>
            <w:shd w:fill="FBEAEA"/>
          </w:tcPr>
          <w:p>
            <w:r/>
            <w:r>
              <w:rPr>
                <w:b/>
                <w:color w:val="D03B3B"/>
                <w:sz w:val="16"/>
              </w:rPr>
              <w:t>O que estes dados NÃO conseguem responder</w:t>
            </w:r>
          </w:p>
          <w:p>
            <w:r>
              <w:rPr>
                <w:sz w:val="18"/>
              </w:rPr>
              <w:t xml:space="preserve">As planilhas do projeto </w:t>
            </w:r>
            <w:r>
              <w:rPr>
                <w:b/>
                <w:sz w:val="18"/>
              </w:rPr>
              <w:t>não contêm nenhuma medição de fármacos (anti-hipertensivos, anticoncepcionais), drogas ilícitas (cocaína/benzoilecgonina) ou ensaios de toxicidade combinada</w:t>
            </w:r>
            <w:r>
              <w:rPr>
                <w:sz w:val="18"/>
              </w:rPr>
              <w:t xml:space="preserve"> (LC50/EC50 de misturas). Responder esta pergunta exige campanhas de amostragem dedicadas a micropoluentes orgânicos emergentes (LC-MS/MS) e bioensaios com organismos-teste — fora do escopo de qualquer fonte hoje ingerida pelo pipeline.</w:t>
            </w:r>
          </w:p>
        </w:tc>
      </w:tr>
    </w:tbl>
    <w:p/>
    <w:p>
      <w:pPr>
        <w:pStyle w:val="Heading3"/>
      </w:pPr>
      <w:r>
        <w:t>Pergunta 2 — Dinâmica e destino dos microplásticos</w:t>
      </w:r>
    </w:p>
    <w:p>
      <w:r>
        <w:rPr>
          <w:i/>
        </w:rPr>
        <w:t>Qual é a taxa de fragmentação, tempo de residência e destino final de microfibras/micropartículas, e como elas atuam como vetor de metais pesados?</w:t>
      </w:r>
    </w:p>
    <w:tbl>
      <w:tblPr>
        <w:tblW w:type="auto" w:w="0"/>
        <w:tblLook w:firstColumn="1" w:firstRow="1" w:lastColumn="0" w:lastRow="0" w:noHBand="0" w:noVBand="1" w:val="04A0"/>
      </w:tblPr>
      <w:tblGrid>
        <w:gridCol w:w="4320"/>
        <w:gridCol w:w="4320"/>
      </w:tblGrid>
      <w:tr>
        <w:tc>
          <w:tcPr>
            <w:tcW w:type="dxa" w:w="4320"/>
            <w:shd w:fill="E8F0FB"/>
          </w:tcPr>
          <w:p>
            <w:r/>
            <w:r>
              <w:rPr>
                <w:b/>
                <w:color w:val="2A78D6"/>
                <w:sz w:val="16"/>
              </w:rPr>
              <w:t>O que os dados deste projeto permitem dizer</w:t>
            </w:r>
          </w:p>
          <w:p>
            <w:r>
              <w:rPr>
                <w:sz w:val="18"/>
              </w:rPr>
              <w:t xml:space="preserve">O projeto tem uma </w:t>
            </w:r>
            <w:r>
              <w:rPr>
                <w:b/>
                <w:sz w:val="18"/>
              </w:rPr>
              <w:t>proxy indireta de sólidos em suspensão</w:t>
            </w:r>
            <w:r>
              <w:rPr>
                <w:sz w:val="18"/>
              </w:rPr>
              <w:t xml:space="preserve"> (Sólido Total, Turbidez — Seção 10) que correlaciona fortemente com Zinco (ρ com DBO = 0,69-0,81) — plausível como proxy grosseiro de partículas que também transportam contaminantes, mas microplástico é um material específico, não sólidos totais.</w:t>
            </w:r>
          </w:p>
        </w:tc>
        <w:tc>
          <w:tcPr>
            <w:tcW w:type="dxa" w:w="4320"/>
            <w:shd w:fill="FBEAEA"/>
          </w:tcPr>
          <w:p>
            <w:r/>
            <w:r>
              <w:rPr>
                <w:b/>
                <w:color w:val="D03B3B"/>
                <w:sz w:val="16"/>
              </w:rPr>
              <w:t>O que estes dados NÃO conseguem responder</w:t>
            </w:r>
          </w:p>
          <w:p>
            <w:r>
              <w:rPr>
                <w:b/>
                <w:sz w:val="18"/>
              </w:rPr>
              <w:t>Nenhuma das fontes ingeridas mede microplástico</w:t>
            </w:r>
            <w:r>
              <w:rPr>
                <w:sz w:val="18"/>
              </w:rPr>
              <w:t xml:space="preserve"> (contagem, tipo de polímero, tamanho de partícula). A Expedição Tietê citada na pergunta usa metodologia própria (arrasto de rede, espectroscopia FTIR) totalmente fora deste pipeline. Não há como estimar taxa de fragmentação ou tempo de residência sem esse dado primário.</w:t>
            </w:r>
          </w:p>
        </w:tc>
      </w:tr>
    </w:tbl>
    <w:p/>
    <w:p>
      <w:pPr>
        <w:pStyle w:val="Heading3"/>
      </w:pPr>
      <w:r>
        <w:t>Pergunta 3 — Disseminação de genes de resistência antimicrobiana (superbactérias)</w:t>
      </w:r>
    </w:p>
    <w:p>
      <w:r>
        <w:rPr>
          <w:i/>
        </w:rPr>
        <w:t>Em que medida o Rio Tietê atua como reservatório e vetor de disseminação de superbactérias e genes de resistência a antibióticos (ARGs)?</w:t>
      </w:r>
    </w:p>
    <w:tbl>
      <w:tblPr>
        <w:tblW w:type="auto" w:w="0"/>
        <w:tblLook w:firstColumn="1" w:firstRow="1" w:lastColumn="0" w:lastRow="0" w:noHBand="0" w:noVBand="1" w:val="04A0"/>
      </w:tblPr>
      <w:tblGrid>
        <w:gridCol w:w="4320"/>
        <w:gridCol w:w="4320"/>
      </w:tblGrid>
      <w:tr>
        <w:tc>
          <w:tcPr>
            <w:tcW w:type="dxa" w:w="4320"/>
            <w:shd w:fill="E8F0FB"/>
          </w:tcPr>
          <w:p>
            <w:r/>
            <w:r>
              <w:rPr>
                <w:b/>
                <w:color w:val="2A78D6"/>
                <w:sz w:val="16"/>
              </w:rPr>
              <w:t>O que os dados deste projeto permitem dizer</w:t>
            </w:r>
          </w:p>
          <w:p>
            <w:r>
              <w:rPr>
                <w:sz w:val="18"/>
              </w:rPr>
              <w:t xml:space="preserve">Coliformes Termotolerantes (proxy de contaminação fecal/esgoto) tem a </w:t>
            </w:r>
            <w:r>
              <w:rPr>
                <w:b/>
                <w:sz w:val="18"/>
              </w:rPr>
              <w:t>segunda maior taxa de outliers do painel (19,3%, IQR)</w:t>
            </w:r>
            <w:r>
              <w:rPr>
                <w:sz w:val="18"/>
              </w:rPr>
              <w:t xml:space="preserve"> e correlaciona-se fortemente com DBO (ρ=0,73) — ou seja, há evidência estatística robusta de aporte contínuo e por vezes agudo de esgoto não tratado, a condição ambiental que a literatura aponta como favorável à seleção e disseminação de resistência antimicrobiana.</w:t>
            </w:r>
          </w:p>
        </w:tc>
        <w:tc>
          <w:tcPr>
            <w:tcW w:type="dxa" w:w="4320"/>
            <w:shd w:fill="FBEAEA"/>
          </w:tcPr>
          <w:p>
            <w:r/>
            <w:r>
              <w:rPr>
                <w:b/>
                <w:color w:val="D03B3B"/>
                <w:sz w:val="16"/>
              </w:rPr>
              <w:t>O que estes dados NÃO conseguem responder</w:t>
            </w:r>
          </w:p>
          <w:p>
            <w:r>
              <w:rPr>
                <w:sz w:val="18"/>
              </w:rPr>
              <w:t xml:space="preserve">Contagem de coliformes </w:t>
            </w:r>
            <w:r>
              <w:rPr>
                <w:b/>
                <w:sz w:val="18"/>
              </w:rPr>
              <w:t>não é sequenciamento genômico</w:t>
            </w:r>
            <w:r>
              <w:rPr>
                <w:sz w:val="18"/>
              </w:rPr>
              <w:t xml:space="preserve"> — não diz nada sobre quais genes de resistência estão presentes, em que microrganismos, nem sobre transferência horizontal de genes. Essa pergunta exige metagenômica do sedimento/água (qPCR de ARGs específicos ou sequenciamento shotgun), inteiramente fora do escopo de qualquer planilha atualmente no projeto.</w:t>
            </w:r>
          </w:p>
        </w:tc>
      </w:tr>
    </w:tbl>
    <w:p/>
    <w:p>
      <w:pPr>
        <w:pStyle w:val="Heading3"/>
      </w:pPr>
      <w:r>
        <w:t>Pergunta 4 — O "passivo ambiental" nos sedimentos e a remobilização</w:t>
      </w:r>
    </w:p>
    <w:p>
      <w:r>
        <w:rPr>
          <w:i/>
        </w:rPr>
        <w:t>O que acontece com metais pesados e matéria orgânica acumulados no lodo quando o rio sofre dragagem, variação de vazão ou eventos climáticos extremos?</w:t>
      </w:r>
    </w:p>
    <w:tbl>
      <w:tblPr>
        <w:tblW w:type="auto" w:w="0"/>
        <w:tblLook w:firstColumn="1" w:firstRow="1" w:lastColumn="0" w:lastRow="0" w:noHBand="0" w:noVBand="1" w:val="04A0"/>
      </w:tblPr>
      <w:tblGrid>
        <w:gridCol w:w="4320"/>
        <w:gridCol w:w="4320"/>
      </w:tblGrid>
      <w:tr>
        <w:tc>
          <w:tcPr>
            <w:tcW w:type="dxa" w:w="4320"/>
            <w:shd w:fill="E8F0FB"/>
          </w:tcPr>
          <w:p>
            <w:r/>
            <w:r>
              <w:rPr>
                <w:b/>
                <w:color w:val="2A78D6"/>
                <w:sz w:val="16"/>
              </w:rPr>
              <w:t>O que os dados deste projeto permitem dizer</w:t>
            </w:r>
          </w:p>
          <w:p>
            <w:r>
              <w:rPr>
                <w:sz w:val="18"/>
              </w:rPr>
              <w:t xml:space="preserve">As séries reais de metais pesados (Seção 3.2) já mostram, por si só, </w:t>
            </w:r>
            <w:r>
              <w:rPr>
                <w:b/>
                <w:sz w:val="18"/>
              </w:rPr>
              <w:t>picos e vales por trecho/ano</w:t>
            </w:r>
            <w:r>
              <w:rPr>
                <w:sz w:val="18"/>
              </w:rPr>
              <w:t xml:space="preserve"> que podem refletir eventos de remobilização (ex.: safras de vazão alta ressuspendendo sedimento). A curva de permanência e os percentis por década (Seção 13) dão a distribuição de vazões extremas contra a qual esses picos de metal poderiam, em teoria, ser cruzados evento a evento.</w:t>
            </w:r>
          </w:p>
        </w:tc>
        <w:tc>
          <w:tcPr>
            <w:tcW w:type="dxa" w:w="4320"/>
            <w:shd w:fill="FBEAEA"/>
          </w:tcPr>
          <w:p>
            <w:r/>
            <w:r>
              <w:rPr>
                <w:b/>
                <w:color w:val="D03B3B"/>
                <w:sz w:val="16"/>
              </w:rPr>
              <w:t>O que estes dados NÃO conseguem responder</w:t>
            </w:r>
          </w:p>
          <w:p>
            <w:r>
              <w:rPr>
                <w:sz w:val="18"/>
              </w:rPr>
              <w:t xml:space="preserve">O projeto </w:t>
            </w:r>
            <w:r>
              <w:rPr>
                <w:b/>
                <w:sz w:val="18"/>
              </w:rPr>
              <w:t>não mede concentração de metais no sedimento/lodo em si</w:t>
            </w:r>
            <w:r>
              <w:rPr>
                <w:sz w:val="18"/>
              </w:rPr>
              <w:t xml:space="preserve"> (só na coluna d'água) nem tem registro de datas de dragagem ou eventos de reservatório (abertura de comportas, deplecionamento). Sem o par "concentração no sedimento antes/depois de um evento conhecido", não é possível responder se dragagem libera ou não o passivo acumulado — essa é uma pergunta de biogeoquímica de sedimento que exige amostragem de testemunho de lodo, não coberta aqui.</w:t>
            </w:r>
          </w:p>
        </w:tc>
      </w:tr>
    </w:tbl>
    <w:p/>
    <w:p>
      <w:pPr>
        <w:pStyle w:val="Heading3"/>
      </w:pPr>
      <w:r>
        <w:t>Pergunta 5 — Bioacumulação e biomagnificação na cadeia alimentar</w:t>
      </w:r>
    </w:p>
    <w:p>
      <w:r>
        <w:rPr>
          <w:i/>
        </w:rPr>
        <w:t>Em que proporção os contaminantes sobem da base da cadeia alimentar até peixes consumidos por humanos, e qual o impacto na agricultura irrigada com essa água?</w:t>
      </w:r>
    </w:p>
    <w:tbl>
      <w:tblPr>
        <w:tblW w:type="auto" w:w="0"/>
        <w:tblLook w:firstColumn="1" w:firstRow="1" w:lastColumn="0" w:lastRow="0" w:noHBand="0" w:noVBand="1" w:val="04A0"/>
      </w:tblPr>
      <w:tblGrid>
        <w:gridCol w:w="4320"/>
        <w:gridCol w:w="4320"/>
      </w:tblGrid>
      <w:tr>
        <w:tc>
          <w:tcPr>
            <w:tcW w:type="dxa" w:w="4320"/>
            <w:shd w:fill="E8F0FB"/>
          </w:tcPr>
          <w:p>
            <w:r/>
            <w:r>
              <w:rPr>
                <w:b/>
                <w:color w:val="2A78D6"/>
                <w:sz w:val="16"/>
              </w:rPr>
              <w:t>O que os dados deste projeto permitem dizer</w:t>
            </w:r>
          </w:p>
          <w:p>
            <w:r>
              <w:rPr>
                <w:sz w:val="18"/>
              </w:rPr>
              <w:t xml:space="preserve">As séries reais de metais pesados e agrotóxicos (proxy simulado) dão a </w:t>
            </w:r>
            <w:r>
              <w:rPr>
                <w:b/>
                <w:sz w:val="18"/>
              </w:rPr>
              <w:t>concentração na água</w:t>
            </w:r>
            <w:r>
              <w:rPr>
                <w:sz w:val="18"/>
              </w:rPr>
              <w:t>, que é o ponto de partida necessário (mas não suficiente) de qualquer cálculo de bioacumulação — e o gradiente espacial claro (Alto &gt;&gt; Baixo Tietê) já indica onde o risco de entrada na cadeia trófica é, a priori, maior.</w:t>
            </w:r>
          </w:p>
        </w:tc>
        <w:tc>
          <w:tcPr>
            <w:tcW w:type="dxa" w:w="4320"/>
            <w:shd w:fill="FBEAEA"/>
          </w:tcPr>
          <w:p>
            <w:r/>
            <w:r>
              <w:rPr>
                <w:b/>
                <w:color w:val="D03B3B"/>
                <w:sz w:val="16"/>
              </w:rPr>
              <w:t>O que estes dados NÃO conseguem responder</w:t>
            </w:r>
          </w:p>
          <w:p>
            <w:r>
              <w:rPr>
                <w:b/>
                <w:sz w:val="18"/>
              </w:rPr>
              <w:t>Não há nenhuma medição de tecido biológico</w:t>
            </w:r>
            <w:r>
              <w:rPr>
                <w:sz w:val="18"/>
              </w:rPr>
              <w:t xml:space="preserve"> (músculo de peixe, plâncton) neste projeto — bioacumulação e biomagnificação só podem ser medidas diretamente amostrando organismos em diferentes níveis tróficos, não inferidas da concentração na água (o fator de bioconcentração varia por espécie, composto e temperatura, e não está calibrado para o Tietê nesta base). Avaliação de segurança alimentar de pescado exige um programa de biomonitoramento dedicado, fora do escopo atual.</w:t>
            </w:r>
          </w:p>
        </w:tc>
      </w:tr>
    </w:tbl>
    <w:p/>
    <w:p>
      <w:r>
        <w:br w:type="page"/>
      </w:r>
    </w:p>
    <w:p>
      <w:pPr>
        <w:pStyle w:val="Heading1"/>
      </w:pPr>
      <w:r>
        <w:t>18 — Limitações, proveniência e recomendações</w:t>
      </w:r>
    </w:p>
    <w:p>
      <w:pPr>
        <w:pStyle w:val="Heading3"/>
      </w:pPr>
      <w:r>
        <w:t>Proveniência dos dados usados neste relatório</w:t>
      </w:r>
    </w:p>
    <w:p>
      <w:pPr>
        <w:pStyle w:val="ListBullet"/>
      </w:pPr>
      <w:r>
        <w:rPr>
          <w:b/>
        </w:rPr>
        <w:t>Real, medido:</w:t>
      </w:r>
      <w:r>
        <w:t xml:space="preserve"> os 13+4 parâmetros CETESB (Seções 3.2, 10, 11, 14, 15) e a hidrologia DAEE/ANA</w:t>
        <w:br/>
        <w:t>(Seções 7, 9, 12, 13) — 137.452 e ~9.061+99.529 registros mensais, respectivamente.</w:t>
      </w:r>
    </w:p>
    <w:p>
      <w:pPr>
        <w:pStyle w:val="ListBullet"/>
      </w:pPr>
      <w:r>
        <w:rPr>
          <w:b/>
        </w:rPr>
        <w:t>Simulado (fallback):</w:t>
      </w:r>
      <w:r>
        <w:t xml:space="preserve"> IQA/DBO/OD/metais agregados, pesticidas e matéria orgânica da planilha</w:t>
        <w:br/>
        <w:t>solo/sedimentos (Seções 3.1, 4, 5, 6, 8) — usados no pipeline de produção apenas para os anos 1940-1977, sem</w:t>
        <w:br/>
        <w:t>cobertura CETESB; aqui analisados integralmente para descrever a fonte, não como evidência de tendência real</w:t>
        <w:br/>
        <w:t>pré-1978.</w:t>
      </w:r>
    </w:p>
    <w:p>
      <w:pPr>
        <w:pStyle w:val="Heading3"/>
      </w:pPr>
      <w:r>
        <w:t>Limitações estatísticas a declarar</w:t>
      </w:r>
    </w:p>
    <w:p>
      <w:pPr>
        <w:pStyle w:val="ListBullet"/>
      </w:pPr>
      <w:r>
        <w:t>O Baixo Tietê tem apenas 2 pontos de monitoramento CETESB e evidência de heterogeneidade na série de vazão</w:t>
        <w:br/>
        <w:t>(Seção 13.3) — todas as conclusões sobre esse trecho têm menor poder estatístico e devem ser tratadas com mais</w:t>
        <w:br/>
        <w:t>cautela que Alto/Médio Tietê.</w:t>
      </w:r>
    </w:p>
    <w:p>
      <w:pPr>
        <w:pStyle w:val="ListBullet"/>
      </w:pPr>
      <w:r>
        <w:t>Mann-Kendall assume ausência de autocorrelação serial forte; séries anuais de qualidade da água tipicamente</w:t>
        <w:br/>
        <w:t>têm alguma persistência ano-a-ano, o que pode inflar levemente a significância — mitigado aqui por reportar τ de</w:t>
        <w:br/>
        <w:t>Kendall (magnitude do efeito) junto com o p-valor, não apenas o p-valor isolado.</w:t>
      </w:r>
    </w:p>
    <w:p>
      <w:pPr>
        <w:pStyle w:val="ListBullet"/>
      </w:pPr>
      <w:r>
        <w:t>O classificador de status (Seção 15.2) e os modelos SHAP (Seção 15.1) aprendem primariamente inércia temporal</w:t>
        <w:br/>
        <w:t xml:space="preserve">(lag1m) — são ferramentas de </w:t>
      </w:r>
      <w:r>
        <w:rPr>
          <w:i/>
        </w:rPr>
        <w:t>nowcasting</w:t>
      </w:r>
      <w:r>
        <w:t>, não de simulação causal de intervenções; para "e se" use o ABM</w:t>
        <w:br/>
        <w:t>do dashboard (tela Cenários Futuros).</w:t>
      </w:r>
    </w:p>
    <w:p>
      <w:pPr>
        <w:pStyle w:val="Heading3"/>
      </w:pPr>
      <w:r>
        <w:t>Recomendações diretas</w:t>
      </w:r>
    </w:p>
    <w:p>
      <w:pPr>
        <w:pStyle w:val="ListNumber"/>
      </w:pPr>
      <w:r>
        <w:t>Investigar a proveniência posto-a-posto da vazão do Baixo Tietê antes de qualquer uso em balanço hídrico</w:t>
        <w:br/>
        <w:t>operacional (Seção 13.3).</w:t>
      </w:r>
    </w:p>
    <w:p>
      <w:pPr>
        <w:pStyle w:val="ListNumber"/>
      </w:pPr>
      <w:r>
        <w:t>Priorizar fiscalização de esgoto doméstico (Fósforo, Nitrogênio Amoniacal, Coliformes) como frente de maior</w:t>
        <w:br/>
        <w:t>impacto imediato sobre o Oxigênio Dissolvido, com o Mercúrio tratado como uma segunda frente distinta, de origem</w:t>
        <w:br/>
        <w:t>mais provavelmente industrial (Seção 10.1).</w:t>
      </w:r>
    </w:p>
    <w:p>
      <w:pPr>
        <w:pStyle w:val="ListNumber"/>
      </w:pPr>
      <w:r>
        <w:t>Tratar as 5 perguntas científicas em aberto (Seção 17) como justificativa para programas de amostragem</w:t>
        <w:br/>
        <w:t>adicionais (metagenômica, LC-MS/MS de micropoluentes, biomonitoramento de peixes, contagem de microplástico) —</w:t>
        <w:br/>
        <w:t>nenhuma delas pode ser respondida apenas reprocessando o dado hoje disponível.</w:t>
      </w:r>
    </w:p>
    <w:p>
      <w:r>
        <w:br w:type="page"/>
      </w:r>
    </w:p>
    <w:p>
      <w:pPr>
        <w:pStyle w:val="Heading1"/>
      </w:pPr>
      <w:r>
        <w:t>19 — O desafio das águas opticamente complexas</w:t>
      </w:r>
    </w:p>
    <w:p>
      <w:r>
        <w:t xml:space="preserve">O eixo do Tietê é uma </w:t>
      </w:r>
      <w:r>
        <w:rPr>
          <w:b/>
        </w:rPr>
        <w:t>Água de Categoria 2 (opticamente complexa)</w:t>
      </w:r>
      <w:r>
        <w:t>: ao contrário do</w:t>
        <w:br/>
        <w:t>oceano aberto, onde a cor da água é dominada quase exclusivamente pelo fitoplâncton, a coluna d'água aqui mistura</w:t>
        <w:br/>
        <w:t>carbono orgânico dissolvido/cromóforo (CDOM), sólidos em suspensão (erosão + esgoto), pigmentos de algas/cianobactérias</w:t>
        <w:br/>
        <w:t>e, em trechos urbanos, corantes e efluentes industriais — todos competindo pelo mesmo sinal óptico. Isso torna</w:t>
        <w:br/>
        <w:t>qualquer algoritmo de sensoriamento remoto calibrado para oceano aberto inutilizável aqui sem recalibração local.</w:t>
      </w:r>
    </w:p>
    <w:tbl>
      <w:tblPr>
        <w:tblW w:type="auto" w:w="0"/>
        <w:tblLook w:firstColumn="1" w:firstRow="1" w:lastColumn="0" w:lastRow="0" w:noHBand="0" w:noVBand="1" w:val="04A0"/>
      </w:tblPr>
      <w:tblGrid>
        <w:gridCol w:w="8640"/>
      </w:tblGrid>
      <w:tr>
        <w:tc>
          <w:tcPr>
            <w:tcW w:type="dxa" w:w="8640"/>
            <w:shd w:fill="EAF1FB"/>
          </w:tcPr>
          <w:p>
            <w:r/>
            <w:r>
              <w:rPr>
                <w:b/>
                <w:color w:val="2A78D6"/>
                <w:sz w:val="17"/>
              </w:rPr>
              <w:t>ESCOPO REAL DESTE PROJETO</w:t>
            </w:r>
          </w:p>
          <w:p>
            <w:r>
              <w:rPr>
                <w:sz w:val="19"/>
              </w:rPr>
              <w:t xml:space="preserve">O pipeline WaterWeave-Tietê tem uma tabela </w:t>
            </w:r>
            <w:r>
              <w:rPr>
                <w:rFonts w:ascii="Consolas" w:hAnsi="Consolas"/>
                <w:color w:val="2A78D6"/>
                <w:sz w:val="19"/>
              </w:rPr>
              <w:t>silver.sensoriamento</w:t>
            </w:r>
            <w:r>
              <w:rPr>
                <w:sz w:val="19"/>
              </w:rPr>
              <w:t xml:space="preserve">, mas ela é </w:t>
            </w:r>
            <w:r>
              <w:rPr>
                <w:b/>
                <w:sz w:val="19"/>
              </w:rPr>
              <w:t>inteiramente</w:t>
              <w:br/>
              <w:t>simulada</w:t>
            </w:r>
            <w:r>
              <w:rPr>
                <w:sz w:val="19"/>
              </w:rPr>
              <w:t xml:space="preserve"> (</w:t>
            </w:r>
            <w:r>
              <w:rPr>
                <w:rFonts w:ascii="Consolas" w:hAnsi="Consolas"/>
                <w:color w:val="2A78D6"/>
                <w:sz w:val="19"/>
              </w:rPr>
              <w:t>fonte_tipo=simulado</w:t>
            </w:r>
            <w:r>
              <w:rPr>
                <w:sz w:val="19"/>
              </w:rPr>
              <w:t>), com apenas 14 linhas e uma única data de coleta — não é uma</w:t>
              <w:br/>
              <w:t>série de imagens de satélite real. As Seções 19-26 respondem, portanto, ao desafio do documento de referência</w:t>
              <w:br/>
              <w:t>usando o que o projeto TEM de real e comparável a um sinal óptico: os parâmetros físico-químicos da CETESB que a</w:t>
              <w:br/>
              <w:t>literatura de sensoriamento remoto trata como "opticamente ativos" (Clorofila-a, Cor Verdadeira, Sólidos em</w:t>
              <w:br/>
              <w:t>Suspensão, Carbono Orgânico Dissolvido/Total, Turbidez) — a base de calibração in situ que qualquer modelo de</w:t>
              <w:br/>
              <w:t>satélite precisaria de qualquer forma antes de ser apontado para uma imagem Sentinel/Landsat.</w:t>
            </w:r>
          </w:p>
        </w:tc>
      </w:tr>
    </w:tbl>
    <w:p/>
    <w:p>
      <w:r>
        <w:br w:type="page"/>
      </w:r>
    </w:p>
    <w:p>
      <w:pPr>
        <w:pStyle w:val="Heading1"/>
      </w:pPr>
      <w:r>
        <w:t>20 — Parâmetros opticamente ativos reais: cobertura, séries e distribuição</w:t>
      </w:r>
    </w:p>
    <w:p>
      <w:r>
        <w:t>Seis parâmetros reais da CETESB se qualificam como opticamente ativos ou opticamente adjacentes</w:t>
        <w:br/>
        <w:t>(alteram a cor/reflectância da água ou são o correlato de campo mais próximo do que um sensor mediria): Turbidez</w:t>
        <w:br/>
        <w:t>(já no painel de 13, Seção 10), Clorofila-a, Cor Verdadeira, Sólido Suspenso Total, Carbono Orgânico Dissolvido e</w:t>
        <w:br/>
        <w:t>Carbono Orgânico Total. A cobertura real no eixo do Tietê varia bastante: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fill="F2F1EE"/>
          </w:tcPr>
          <w:p>
            <w:r/>
            <w:r>
              <w:rPr>
                <w:b/>
                <w:color w:val="6B6F68"/>
                <w:sz w:val="15"/>
              </w:rPr>
              <w:t>Carbono Orgânico Total</w:t>
            </w:r>
          </w:p>
          <w:p>
            <w:r>
              <w:rPr>
                <w:b/>
                <w:sz w:val="30"/>
              </w:rPr>
              <w:t>1.319</w:t>
            </w:r>
          </w:p>
          <w:p>
            <w:r>
              <w:rPr>
                <w:color w:val="6B6F68"/>
                <w:sz w:val="15"/>
              </w:rPr>
              <w:t>medições reais</w:t>
            </w:r>
          </w:p>
        </w:tc>
        <w:tc>
          <w:tcPr>
            <w:tcW w:type="dxa" w:w="1440"/>
            <w:shd w:fill="F2F1EE"/>
          </w:tcPr>
          <w:p>
            <w:r/>
            <w:r>
              <w:rPr>
                <w:b/>
                <w:color w:val="6B6F68"/>
                <w:sz w:val="15"/>
              </w:rPr>
              <w:t>Feofitina-a</w:t>
            </w:r>
          </w:p>
          <w:p>
            <w:r>
              <w:rPr>
                <w:b/>
                <w:sz w:val="30"/>
              </w:rPr>
              <w:t>973</w:t>
            </w:r>
          </w:p>
          <w:p>
            <w:r>
              <w:rPr>
                <w:color w:val="6B6F68"/>
                <w:sz w:val="15"/>
              </w:rPr>
              <w:t>degradação de clorofila</w:t>
            </w:r>
          </w:p>
        </w:tc>
        <w:tc>
          <w:tcPr>
            <w:tcW w:type="dxa" w:w="1440"/>
            <w:shd w:fill="F2F1EE"/>
          </w:tcPr>
          <w:p>
            <w:r/>
            <w:r>
              <w:rPr>
                <w:b/>
                <w:color w:val="6B6F68"/>
                <w:sz w:val="15"/>
              </w:rPr>
              <w:t>Clorofila-a</w:t>
            </w:r>
          </w:p>
          <w:p>
            <w:r>
              <w:rPr>
                <w:b/>
                <w:sz w:val="30"/>
              </w:rPr>
              <w:t>968</w:t>
            </w:r>
          </w:p>
          <w:p>
            <w:r>
              <w:rPr>
                <w:color w:val="6B6F68"/>
                <w:sz w:val="15"/>
              </w:rPr>
              <w:t>medições reais</w:t>
            </w:r>
          </w:p>
        </w:tc>
        <w:tc>
          <w:tcPr>
            <w:tcW w:type="dxa" w:w="1440"/>
            <w:shd w:fill="F2F1EE"/>
          </w:tcPr>
          <w:p>
            <w:r/>
            <w:r>
              <w:rPr>
                <w:b/>
                <w:color w:val="6B6F68"/>
                <w:sz w:val="15"/>
              </w:rPr>
              <w:t>Carbono Org. Dissolvido</w:t>
            </w:r>
          </w:p>
          <w:p>
            <w:r>
              <w:rPr>
                <w:b/>
                <w:sz w:val="30"/>
              </w:rPr>
              <w:t>447</w:t>
            </w:r>
          </w:p>
          <w:p>
            <w:r>
              <w:rPr>
                <w:color w:val="6B6F68"/>
                <w:sz w:val="15"/>
              </w:rPr>
              <w:t>proxy direto de CDOM</w:t>
            </w:r>
          </w:p>
        </w:tc>
        <w:tc>
          <w:tcPr>
            <w:tcW w:type="dxa" w:w="1440"/>
            <w:shd w:fill="F2F1EE"/>
          </w:tcPr>
          <w:p>
            <w:r/>
            <w:r>
              <w:rPr>
                <w:b/>
                <w:color w:val="6B6F68"/>
                <w:sz w:val="15"/>
              </w:rPr>
              <w:t>Sólido Suspenso Total</w:t>
            </w:r>
          </w:p>
          <w:p>
            <w:r>
              <w:rPr>
                <w:b/>
                <w:sz w:val="30"/>
              </w:rPr>
              <w:t>392</w:t>
            </w:r>
          </w:p>
          <w:p>
            <w:r>
              <w:rPr>
                <w:color w:val="6B6F68"/>
                <w:sz w:val="15"/>
              </w:rPr>
              <w:t>medições reais</w:t>
            </w:r>
          </w:p>
        </w:tc>
        <w:tc>
          <w:tcPr>
            <w:tcW w:type="dxa" w:w="1440"/>
            <w:shd w:fill="F2F1EE"/>
          </w:tcPr>
          <w:p>
            <w:r/>
            <w:r>
              <w:rPr>
                <w:b/>
                <w:color w:val="6B6F68"/>
                <w:sz w:val="15"/>
              </w:rPr>
              <w:t>Cor Verdadeira</w:t>
            </w:r>
          </w:p>
          <w:p>
            <w:r>
              <w:rPr>
                <w:b/>
                <w:sz w:val="30"/>
              </w:rPr>
              <w:t>384</w:t>
            </w:r>
          </w:p>
          <w:p>
            <w:r>
              <w:rPr>
                <w:color w:val="6B6F68"/>
                <w:sz w:val="15"/>
              </w:rPr>
              <w:t>medições reais</w:t>
            </w:r>
          </w:p>
        </w:tc>
      </w:tr>
    </w:tbl>
    <w:p/>
    <w:p>
      <w:pPr>
        <w:jc w:val="center"/>
      </w:pPr>
      <w:r>
        <w:drawing>
          <wp:inline xmlns:a="http://schemas.openxmlformats.org/drawingml/2006/main" xmlns:pic="http://schemas.openxmlformats.org/drawingml/2006/picture">
            <wp:extent cx="5580000" cy="3064261"/>
            <wp:docPr id="36" name="Picture 36"/>
            <wp:cNvGraphicFramePr>
              <a:graphicFrameLocks noChangeAspect="1"/>
            </wp:cNvGraphicFramePr>
            <a:graphic>
              <a:graphicData uri="http://schemas.openxmlformats.org/drawingml/2006/picture">
                <pic:pic>
                  <pic:nvPicPr>
                    <pic:cNvPr id="0" name="serie_opticos_reais.png"/>
                    <pic:cNvPicPr/>
                  </pic:nvPicPr>
                  <pic:blipFill>
                    <a:blip r:embed="rId44"/>
                    <a:stretch>
                      <a:fillRect/>
                    </a:stretch>
                  </pic:blipFill>
                  <pic:spPr>
                    <a:xfrm>
                      <a:off x="0" y="0"/>
                      <a:ext cx="5580000" cy="3064261"/>
                    </a:xfrm>
                    <a:prstGeom prst="rect"/>
                  </pic:spPr>
                </pic:pic>
              </a:graphicData>
            </a:graphic>
          </wp:inline>
        </w:drawing>
      </w:r>
    </w:p>
    <w:p>
      <w:pPr>
        <w:jc w:val="center"/>
      </w:pPr>
      <w:r>
        <w:rPr>
          <w:i/>
          <w:color w:val="6B6F68"/>
          <w:sz w:val="18"/>
        </w:rPr>
        <w:t>Séries anuais reais (CETESB) dos 6 parâmetros opticamente ativos,</w:t>
        <w:br/>
        <w:t>por trecho.</w:t>
      </w:r>
    </w:p>
    <w:p>
      <w:pPr>
        <w:jc w:val="center"/>
      </w:pPr>
      <w:r>
        <w:drawing>
          <wp:inline xmlns:a="http://schemas.openxmlformats.org/drawingml/2006/main" xmlns:pic="http://schemas.openxmlformats.org/drawingml/2006/picture">
            <wp:extent cx="5580000" cy="2887379"/>
            <wp:docPr id="37" name="Picture 37"/>
            <wp:cNvGraphicFramePr>
              <a:graphicFrameLocks noChangeAspect="1"/>
            </wp:cNvGraphicFramePr>
            <a:graphic>
              <a:graphicData uri="http://schemas.openxmlformats.org/drawingml/2006/picture">
                <pic:pic>
                  <pic:nvPicPr>
                    <pic:cNvPr id="0" name="freq_opticos.png"/>
                    <pic:cNvPicPr/>
                  </pic:nvPicPr>
                  <pic:blipFill>
                    <a:blip r:embed="rId45"/>
                    <a:stretch>
                      <a:fillRect/>
                    </a:stretch>
                  </pic:blipFill>
                  <pic:spPr>
                    <a:xfrm>
                      <a:off x="0" y="0"/>
                      <a:ext cx="5580000" cy="2887379"/>
                    </a:xfrm>
                    <a:prstGeom prst="rect"/>
                  </pic:spPr>
                </pic:pic>
              </a:graphicData>
            </a:graphic>
          </wp:inline>
        </w:drawing>
      </w:r>
    </w:p>
    <w:p>
      <w:pPr>
        <w:jc w:val="center"/>
      </w:pPr>
      <w:r>
        <w:rPr>
          <w:i/>
          <w:color w:val="6B6F68"/>
          <w:sz w:val="18"/>
        </w:rPr>
        <w:t>Distribuição de frequência dos parâmetros opticamente ativos.</w:t>
      </w:r>
    </w:p>
    <w:tbl>
      <w:tblPr>
        <w:tblW w:type="auto" w:w="0"/>
        <w:tblLook w:firstColumn="1" w:firstRow="1" w:lastColumn="0" w:lastRow="0" w:noHBand="0" w:noVBand="1" w:val="04A0"/>
      </w:tblPr>
      <w:tblGrid>
        <w:gridCol w:w="8640"/>
      </w:tblGrid>
      <w:tr>
        <w:tc>
          <w:tcPr>
            <w:tcW w:type="dxa" w:w="8640"/>
            <w:shd w:fill="FBEAEA"/>
          </w:tcPr>
          <w:p>
            <w:r/>
            <w:r>
              <w:rPr>
                <w:b/>
                <w:color w:val="D03B3B"/>
                <w:sz w:val="17"/>
              </w:rPr>
              <w:t>ACHADO</w:t>
            </w:r>
          </w:p>
          <w:p>
            <w:r>
              <w:rPr>
                <w:sz w:val="19"/>
              </w:rPr>
              <w:t>Clorofila-a e Feofitina-a — os parâmetros que a literatura de sensoriamento remoto mais associa a algoritmos</w:t>
              <w:br/>
              <w:t>ópticos (bandas de absorção de pigmento) — têm cobertura real robusta (n=968 e 973), o que é uma boa notícia</w:t>
              <w:br/>
              <w:t>para uma futura calibração satélite-Tietê. Carbono Orgânico Total tem a maior cobertura de todos (n=1.319),</w:t>
              <w:br/>
              <w:t>tornando-o o candidato mais forte a proxy de calibração de campo.</w:t>
            </w:r>
          </w:p>
        </w:tc>
      </w:tr>
    </w:tbl>
    <w:p/>
    <w:p>
      <w:r>
        <w:br w:type="page"/>
      </w:r>
    </w:p>
    <w:p>
      <w:pPr>
        <w:pStyle w:val="Heading1"/>
      </w:pPr>
      <w:r>
        <w:t>21 — Correlação entre proxies ópticos e parâmetros não-opticamente-ativos</w:t>
      </w:r>
    </w:p>
    <w:p>
      <w:r>
        <w:t>Correlação de Spearman entre os proxies ópticos e os parâmetros que a literatura classifica como</w:t>
        <w:br/>
        <w:t>"não-opticamente-ativos, mas inferíveis via ML" (OD, DBO, Fósforo Total, Nitrogênio Amoniacal) — a pergunta é</w:t>
        <w:br/>
        <w:t>literalmente: qual proxy óptico carrega mais sinal sobre esses parâmetros?</w:t>
      </w:r>
    </w:p>
    <w:p>
      <w:pPr>
        <w:jc w:val="center"/>
      </w:pPr>
      <w:r>
        <w:drawing>
          <wp:inline xmlns:a="http://schemas.openxmlformats.org/drawingml/2006/main" xmlns:pic="http://schemas.openxmlformats.org/drawingml/2006/picture">
            <wp:extent cx="5580000" cy="4676571"/>
            <wp:docPr id="38" name="Picture 38"/>
            <wp:cNvGraphicFramePr>
              <a:graphicFrameLocks noChangeAspect="1"/>
            </wp:cNvGraphicFramePr>
            <a:graphic>
              <a:graphicData uri="http://schemas.openxmlformats.org/drawingml/2006/picture">
                <pic:pic>
                  <pic:nvPicPr>
                    <pic:cNvPr id="0" name="spearman_optico_expandido.png"/>
                    <pic:cNvPicPr/>
                  </pic:nvPicPr>
                  <pic:blipFill>
                    <a:blip r:embed="rId46"/>
                    <a:stretch>
                      <a:fillRect/>
                    </a:stretch>
                  </pic:blipFill>
                  <pic:spPr>
                    <a:xfrm>
                      <a:off x="0" y="0"/>
                      <a:ext cx="5580000" cy="4676571"/>
                    </a:xfrm>
                    <a:prstGeom prst="rect"/>
                  </pic:spPr>
                </pic:pic>
              </a:graphicData>
            </a:graphic>
          </wp:inline>
        </w:drawing>
      </w:r>
    </w:p>
    <w:p>
      <w:pPr>
        <w:jc w:val="center"/>
      </w:pPr>
      <w:r>
        <w:rPr>
          <w:i/>
          <w:color w:val="6B6F68"/>
          <w:sz w:val="18"/>
        </w:rPr>
        <w:t>Spearman — proxies ópticos × OD/DBO/nutrientes ×</w:t>
        <w:br/>
        <w:t>hidrologia.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7"/>
              </w:rPr>
              <w:t>Proxy óptico</w:t>
            </w:r>
          </w:p>
        </w:tc>
        <w:tc>
          <w:tcPr>
            <w:tcW w:type="dxa" w:w="1728"/>
          </w:tcPr>
          <w:p>
            <w:r/>
            <w:r>
              <w:rPr>
                <w:b/>
                <w:sz w:val="17"/>
              </w:rPr>
              <w:t>ρ com OD</w:t>
            </w:r>
          </w:p>
        </w:tc>
        <w:tc>
          <w:tcPr>
            <w:tcW w:type="dxa" w:w="1728"/>
          </w:tcPr>
          <w:p>
            <w:r/>
            <w:r>
              <w:rPr>
                <w:b/>
                <w:sz w:val="17"/>
              </w:rPr>
              <w:t>ρ com DBO</w:t>
            </w:r>
          </w:p>
        </w:tc>
        <w:tc>
          <w:tcPr>
            <w:tcW w:type="dxa" w:w="1728"/>
          </w:tcPr>
          <w:p>
            <w:r/>
            <w:r>
              <w:rPr>
                <w:b/>
                <w:sz w:val="17"/>
              </w:rPr>
              <w:t>ρ com Fósforo</w:t>
            </w:r>
          </w:p>
        </w:tc>
        <w:tc>
          <w:tcPr>
            <w:tcW w:type="dxa" w:w="1728"/>
          </w:tcPr>
          <w:p>
            <w:r/>
            <w:r>
              <w:rPr>
                <w:b/>
                <w:sz w:val="17"/>
              </w:rPr>
              <w:t>ρ com N-Amoniacal</w:t>
            </w:r>
          </w:p>
        </w:tc>
      </w:tr>
      <w:tr>
        <w:tc>
          <w:tcPr>
            <w:tcW w:type="dxa" w:w="1728"/>
          </w:tcPr>
          <w:p>
            <w:r/>
            <w:r>
              <w:rPr>
                <w:sz w:val="18"/>
              </w:rPr>
              <w:t>Carbono Orgânico Total</w:t>
            </w:r>
          </w:p>
        </w:tc>
        <w:tc>
          <w:tcPr>
            <w:tcW w:type="dxa" w:w="1728"/>
          </w:tcPr>
          <w:p>
            <w:r/>
            <w:r>
              <w:rPr>
                <w:color w:val="D03B3B"/>
                <w:sz w:val="18"/>
              </w:rPr>
              <w:t>-0,68</w:t>
            </w:r>
          </w:p>
        </w:tc>
        <w:tc>
          <w:tcPr>
            <w:tcW w:type="dxa" w:w="1728"/>
          </w:tcPr>
          <w:p>
            <w:r/>
            <w:r>
              <w:rPr>
                <w:color w:val="D03B3B"/>
                <w:sz w:val="18"/>
              </w:rPr>
              <w:t>0,81</w:t>
            </w:r>
          </w:p>
        </w:tc>
        <w:tc>
          <w:tcPr>
            <w:tcW w:type="dxa" w:w="1728"/>
          </w:tcPr>
          <w:p>
            <w:r/>
            <w:r>
              <w:rPr>
                <w:color w:val="D03B3B"/>
                <w:sz w:val="18"/>
              </w:rPr>
              <w:t>0,82</w:t>
            </w:r>
          </w:p>
        </w:tc>
        <w:tc>
          <w:tcPr>
            <w:tcW w:type="dxa" w:w="1728"/>
          </w:tcPr>
          <w:p>
            <w:r/>
            <w:r>
              <w:rPr>
                <w:color w:val="D03B3B"/>
                <w:sz w:val="18"/>
              </w:rPr>
              <w:t>0,79</w:t>
            </w:r>
          </w:p>
        </w:tc>
      </w:tr>
      <w:tr>
        <w:tc>
          <w:tcPr>
            <w:tcW w:type="dxa" w:w="1728"/>
          </w:tcPr>
          <w:p>
            <w:r/>
            <w:r>
              <w:rPr>
                <w:sz w:val="18"/>
              </w:rPr>
              <w:t>Carbono Orgânico Dissolvido</w:t>
            </w:r>
          </w:p>
        </w:tc>
        <w:tc>
          <w:tcPr>
            <w:tcW w:type="dxa" w:w="1728"/>
          </w:tcPr>
          <w:p>
            <w:r/>
            <w:r>
              <w:rPr>
                <w:color w:val="D03B3B"/>
                <w:sz w:val="18"/>
              </w:rPr>
              <w:t>-0,71</w:t>
            </w:r>
          </w:p>
        </w:tc>
        <w:tc>
          <w:tcPr>
            <w:tcW w:type="dxa" w:w="1728"/>
          </w:tcPr>
          <w:p>
            <w:r/>
            <w:r>
              <w:rPr>
                <w:color w:val="D03B3B"/>
                <w:sz w:val="18"/>
              </w:rPr>
              <w:t>0,73</w:t>
            </w:r>
          </w:p>
        </w:tc>
        <w:tc>
          <w:tcPr>
            <w:tcW w:type="dxa" w:w="1728"/>
          </w:tcPr>
          <w:p>
            <w:r/>
            <w:r>
              <w:rPr>
                <w:color w:val="D03B3B"/>
                <w:sz w:val="18"/>
              </w:rPr>
              <w:t>0,79</w:t>
            </w:r>
          </w:p>
        </w:tc>
        <w:tc>
          <w:tcPr>
            <w:tcW w:type="dxa" w:w="1728"/>
          </w:tcPr>
          <w:p>
            <w:r/>
            <w:r>
              <w:rPr>
                <w:color w:val="D03B3B"/>
                <w:sz w:val="18"/>
              </w:rPr>
              <w:t>0,70</w:t>
            </w:r>
          </w:p>
        </w:tc>
      </w:tr>
      <w:tr>
        <w:tc>
          <w:tcPr>
            <w:tcW w:type="dxa" w:w="1728"/>
          </w:tcPr>
          <w:p>
            <w:r/>
            <w:r>
              <w:rPr>
                <w:sz w:val="18"/>
              </w:rPr>
              <w:t>Sólido Suspenso Total</w:t>
            </w:r>
          </w:p>
        </w:tc>
        <w:tc>
          <w:tcPr>
            <w:tcW w:type="dxa" w:w="1728"/>
          </w:tcPr>
          <w:p>
            <w:r/>
            <w:r>
              <w:rPr>
                <w:color w:val="D03B3B"/>
                <w:sz w:val="18"/>
              </w:rPr>
              <w:t>-0,63</w:t>
            </w:r>
          </w:p>
        </w:tc>
        <w:tc>
          <w:tcPr>
            <w:tcW w:type="dxa" w:w="1728"/>
          </w:tcPr>
          <w:p>
            <w:r/>
            <w:r>
              <w:rPr>
                <w:color w:val="D03B3B"/>
                <w:sz w:val="18"/>
              </w:rPr>
              <w:t>0,71</w:t>
            </w:r>
          </w:p>
        </w:tc>
        <w:tc>
          <w:tcPr>
            <w:tcW w:type="dxa" w:w="1728"/>
          </w:tcPr>
          <w:p>
            <w:r/>
            <w:r>
              <w:rPr>
                <w:sz w:val="18"/>
              </w:rPr>
              <w:t>0,58</w:t>
            </w:r>
          </w:p>
        </w:tc>
        <w:tc>
          <w:tcPr>
            <w:tcW w:type="dxa" w:w="1728"/>
          </w:tcPr>
          <w:p>
            <w:r/>
            <w:r>
              <w:rPr>
                <w:sz w:val="18"/>
              </w:rPr>
              <w:t>0,43</w:t>
            </w:r>
          </w:p>
        </w:tc>
      </w:tr>
      <w:tr>
        <w:tc>
          <w:tcPr>
            <w:tcW w:type="dxa" w:w="1728"/>
          </w:tcPr>
          <w:p>
            <w:r/>
            <w:r>
              <w:rPr>
                <w:sz w:val="18"/>
              </w:rPr>
              <w:t>Feofitina-a</w:t>
            </w:r>
          </w:p>
        </w:tc>
        <w:tc>
          <w:tcPr>
            <w:tcW w:type="dxa" w:w="1728"/>
          </w:tcPr>
          <w:p>
            <w:r/>
            <w:r>
              <w:rPr>
                <w:sz w:val="18"/>
              </w:rPr>
              <w:t>-0,10</w:t>
            </w:r>
          </w:p>
        </w:tc>
        <w:tc>
          <w:tcPr>
            <w:tcW w:type="dxa" w:w="1728"/>
          </w:tcPr>
          <w:p>
            <w:r/>
            <w:r>
              <w:rPr>
                <w:sz w:val="18"/>
              </w:rPr>
              <w:t>0,50</w:t>
            </w:r>
          </w:p>
        </w:tc>
        <w:tc>
          <w:tcPr>
            <w:tcW w:type="dxa" w:w="1728"/>
          </w:tcPr>
          <w:p>
            <w:r/>
            <w:r>
              <w:rPr>
                <w:sz w:val="18"/>
              </w:rPr>
              <w:t>0,37</w:t>
            </w:r>
          </w:p>
        </w:tc>
        <w:tc>
          <w:tcPr>
            <w:tcW w:type="dxa" w:w="1728"/>
          </w:tcPr>
          <w:p>
            <w:r/>
            <w:r>
              <w:rPr>
                <w:sz w:val="18"/>
              </w:rPr>
              <w:t>0,40</w:t>
            </w:r>
          </w:p>
        </w:tc>
      </w:tr>
      <w:tr>
        <w:tc>
          <w:tcPr>
            <w:tcW w:type="dxa" w:w="1728"/>
          </w:tcPr>
          <w:p>
            <w:r/>
            <w:r>
              <w:rPr>
                <w:sz w:val="18"/>
              </w:rPr>
              <w:t>Clorofila-a</w:t>
            </w:r>
          </w:p>
        </w:tc>
        <w:tc>
          <w:tcPr>
            <w:tcW w:type="dxa" w:w="1728"/>
          </w:tcPr>
          <w:p>
            <w:r/>
            <w:r>
              <w:rPr>
                <w:sz w:val="18"/>
              </w:rPr>
              <w:t>-0,03</w:t>
            </w:r>
          </w:p>
        </w:tc>
        <w:tc>
          <w:tcPr>
            <w:tcW w:type="dxa" w:w="1728"/>
          </w:tcPr>
          <w:p>
            <w:r/>
            <w:r>
              <w:rPr>
                <w:sz w:val="18"/>
              </w:rPr>
              <w:t>0,41</w:t>
            </w:r>
          </w:p>
        </w:tc>
        <w:tc>
          <w:tcPr>
            <w:tcW w:type="dxa" w:w="1728"/>
          </w:tcPr>
          <w:p>
            <w:r/>
            <w:r>
              <w:rPr>
                <w:sz w:val="18"/>
              </w:rPr>
              <w:t>0,31</w:t>
            </w:r>
          </w:p>
        </w:tc>
        <w:tc>
          <w:tcPr>
            <w:tcW w:type="dxa" w:w="1728"/>
          </w:tcPr>
          <w:p>
            <w:r/>
            <w:r>
              <w:rPr>
                <w:sz w:val="18"/>
              </w:rPr>
              <w:t>0,34</w:t>
            </w:r>
          </w:p>
        </w:tc>
      </w:tr>
      <w:tr>
        <w:tc>
          <w:tcPr>
            <w:tcW w:type="dxa" w:w="1728"/>
          </w:tcPr>
          <w:p>
            <w:r/>
            <w:r>
              <w:rPr>
                <w:sz w:val="18"/>
              </w:rPr>
              <w:t>Cor Verdadeira</w:t>
            </w:r>
          </w:p>
        </w:tc>
        <w:tc>
          <w:tcPr>
            <w:tcW w:type="dxa" w:w="1728"/>
          </w:tcPr>
          <w:p>
            <w:r/>
            <w:r>
              <w:rPr>
                <w:sz w:val="18"/>
              </w:rPr>
              <w:t>-0,26</w:t>
            </w:r>
          </w:p>
        </w:tc>
        <w:tc>
          <w:tcPr>
            <w:tcW w:type="dxa" w:w="1728"/>
          </w:tcPr>
          <w:p>
            <w:r/>
            <w:r>
              <w:rPr>
                <w:sz w:val="18"/>
              </w:rPr>
              <w:t>0,08</w:t>
            </w:r>
          </w:p>
        </w:tc>
        <w:tc>
          <w:tcPr>
            <w:tcW w:type="dxa" w:w="1728"/>
          </w:tcPr>
          <w:p>
            <w:r/>
            <w:r>
              <w:rPr>
                <w:sz w:val="18"/>
              </w:rPr>
              <w:t>0,32</w:t>
            </w:r>
          </w:p>
        </w:tc>
        <w:tc>
          <w:tcPr>
            <w:tcW w:type="dxa" w:w="1728"/>
          </w:tcPr>
          <w:p>
            <w:r/>
            <w:r>
              <w:rPr>
                <w:sz w:val="18"/>
              </w:rPr>
              <w:t>0,16</w:t>
            </w:r>
          </w:p>
        </w:tc>
      </w:tr>
    </w:tbl>
    <w:tbl>
      <w:tblPr>
        <w:tblW w:type="auto" w:w="0"/>
        <w:tblLook w:firstColumn="1" w:firstRow="1" w:lastColumn="0" w:lastRow="0" w:noHBand="0" w:noVBand="1" w:val="04A0"/>
      </w:tblPr>
      <w:tblGrid>
        <w:gridCol w:w="8640"/>
      </w:tblGrid>
      <w:tr>
        <w:tc>
          <w:tcPr>
            <w:tcW w:type="dxa" w:w="8640"/>
            <w:shd w:fill="FBEAEA"/>
          </w:tcPr>
          <w:p>
            <w:r/>
            <w:r>
              <w:rPr>
                <w:b/>
                <w:color w:val="D03B3B"/>
                <w:sz w:val="17"/>
              </w:rPr>
              <w:t>ACHADO (CONTRA-INTUITIVO)</w:t>
            </w:r>
          </w:p>
          <w:p>
            <w:r>
              <w:rPr>
                <w:sz w:val="19"/>
              </w:rPr>
              <w:t xml:space="preserve">No Rio Tietê, os proxies de </w:t>
            </w:r>
            <w:r>
              <w:rPr>
                <w:b/>
                <w:sz w:val="19"/>
              </w:rPr>
              <w:t>carbono orgânico (COT/COD) e sólidos em suspensão são muito mais</w:t>
              <w:br/>
              <w:t>informativos sobre OD/DBO/nutrientes (|ρ| 0,58-0,82) do que Clorofila-a e Feofitina-a (|ρ| 0,03-0,50)</w:t>
            </w:r>
            <w:r>
              <w:rPr>
                <w:sz w:val="19"/>
              </w:rPr>
              <w:t xml:space="preserve"> —</w:t>
              <w:br/>
              <w:t>o inverso do que a literatura de sensoriamento remoto assume por padrão (onde algoritmos de Clorofila-a são o</w:t>
              <w:br/>
              <w:t>carro-chefe, calibrados para lagos eutrofizados/oceano costeiro). A leitura mais provável: a água do Tietê é</w:t>
              <w:br/>
              <w:t>turva e carregada de matéria orgânica dissolvida a ponto de limitar a penetração de luz e, com isso, o próprio</w:t>
              <w:br/>
              <w:t>crescimento de algas — o estresse dominante aqui é carga orgânica/sedimentar de esgoto, não proliferação de</w:t>
              <w:br/>
              <w:t xml:space="preserve">biomassa algal. Um algoritmo de satélite para o Tietê deveria, portanto, </w:t>
            </w:r>
            <w:r>
              <w:rPr>
                <w:b/>
                <w:sz w:val="19"/>
              </w:rPr>
              <w:t>priorizar bandas sensíveis a</w:t>
              <w:br/>
              <w:t>CDOM/turbidez</w:t>
            </w:r>
            <w:r>
              <w:rPr>
                <w:sz w:val="19"/>
              </w:rPr>
              <w:t>, não replicar acriticamente um algoritmo de Clorofila-a de outro tipo de corpo d'água.</w:t>
            </w:r>
          </w:p>
        </w:tc>
      </w:tr>
    </w:tbl>
    <w:p/>
    <w:p>
      <w:r>
        <w:br w:type="page"/>
      </w:r>
    </w:p>
    <w:p>
      <w:pPr>
        <w:pStyle w:val="Heading1"/>
      </w:pPr>
      <w:r>
        <w:t>22 — Modelo de Machine Learning: inferindo parâmetros não-ópticos a partir de um proxy óptico real</w:t>
      </w:r>
    </w:p>
    <w:p>
      <w:r>
        <w:t>Operacionalizamos a pergunta central do documento de referência — "o ML consegue inferir parâmetros</w:t>
        <w:br/>
        <w:t>não-opticamente-ativos a partir de sinal óptico + contexto?" — treinando RandomForest e XGBoost para prever</w:t>
        <w:br/>
        <w:t xml:space="preserve">OD, DBO, Fósforo Total e Nitrogênio Amoniacal a partir de </w:t>
      </w:r>
      <w:r>
        <w:rPr>
          <w:b/>
        </w:rPr>
        <w:t>Carbono Orgânico Total</w:t>
      </w:r>
      <w:r>
        <w:t xml:space="preserve"> (o proxy óptico</w:t>
        <w:br/>
        <w:t>de maior cobertura real) + vazão, chuva e mês, evento a evento (n=919, todos os trechos, split por ano como o</w:t>
        <w:br/>
        <w:t>resto do projeto: treino &lt;2015, teste ≥2015).</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7"/>
              </w:rPr>
              <w:t>Alvo</w:t>
            </w:r>
          </w:p>
        </w:tc>
        <w:tc>
          <w:tcPr>
            <w:tcW w:type="dxa" w:w="1728"/>
          </w:tcPr>
          <w:p>
            <w:r/>
            <w:r>
              <w:rPr>
                <w:b/>
                <w:sz w:val="17"/>
              </w:rPr>
              <w:t>RF R²</w:t>
            </w:r>
          </w:p>
        </w:tc>
        <w:tc>
          <w:tcPr>
            <w:tcW w:type="dxa" w:w="1728"/>
          </w:tcPr>
          <w:p>
            <w:r/>
            <w:r>
              <w:rPr>
                <w:b/>
                <w:sz w:val="17"/>
              </w:rPr>
              <w:t>RF MAE</w:t>
            </w:r>
          </w:p>
        </w:tc>
        <w:tc>
          <w:tcPr>
            <w:tcW w:type="dxa" w:w="1728"/>
          </w:tcPr>
          <w:p>
            <w:r/>
            <w:r>
              <w:rPr>
                <w:b/>
                <w:sz w:val="17"/>
              </w:rPr>
              <w:t>XGBoost R²</w:t>
            </w:r>
          </w:p>
        </w:tc>
        <w:tc>
          <w:tcPr>
            <w:tcW w:type="dxa" w:w="1728"/>
          </w:tcPr>
          <w:p>
            <w:r/>
            <w:r>
              <w:rPr>
                <w:b/>
                <w:sz w:val="17"/>
              </w:rPr>
              <w:t>XGBoost MAE</w:t>
            </w:r>
          </w:p>
        </w:tc>
      </w:tr>
      <w:tr>
        <w:tc>
          <w:tcPr>
            <w:tcW w:type="dxa" w:w="1728"/>
          </w:tcPr>
          <w:p>
            <w:r/>
            <w:r>
              <w:rPr>
                <w:sz w:val="18"/>
              </w:rPr>
              <w:t>Oxigênio Dissolvido</w:t>
            </w:r>
          </w:p>
        </w:tc>
        <w:tc>
          <w:tcPr>
            <w:tcW w:type="dxa" w:w="1728"/>
          </w:tcPr>
          <w:p>
            <w:r/>
            <w:r>
              <w:rPr>
                <w:sz w:val="18"/>
              </w:rPr>
              <w:t>0,48</w:t>
            </w:r>
          </w:p>
        </w:tc>
        <w:tc>
          <w:tcPr>
            <w:tcW w:type="dxa" w:w="1728"/>
          </w:tcPr>
          <w:p>
            <w:r/>
            <w:r>
              <w:rPr>
                <w:sz w:val="18"/>
              </w:rPr>
              <w:t>1,24 mg/L</w:t>
            </w:r>
          </w:p>
        </w:tc>
        <w:tc>
          <w:tcPr>
            <w:tcW w:type="dxa" w:w="1728"/>
          </w:tcPr>
          <w:p>
            <w:r/>
            <w:r>
              <w:rPr>
                <w:sz w:val="18"/>
              </w:rPr>
              <w:t>0,41</w:t>
            </w:r>
          </w:p>
        </w:tc>
        <w:tc>
          <w:tcPr>
            <w:tcW w:type="dxa" w:w="1728"/>
          </w:tcPr>
          <w:p>
            <w:r/>
            <w:r>
              <w:rPr>
                <w:sz w:val="18"/>
              </w:rPr>
              <w:t>1,35 mg/L</w:t>
            </w:r>
          </w:p>
        </w:tc>
      </w:tr>
      <w:tr>
        <w:tc>
          <w:tcPr>
            <w:tcW w:type="dxa" w:w="1728"/>
          </w:tcPr>
          <w:p>
            <w:r/>
            <w:r>
              <w:rPr>
                <w:sz w:val="18"/>
              </w:rPr>
              <w:t>DBO</w:t>
            </w:r>
          </w:p>
        </w:tc>
        <w:tc>
          <w:tcPr>
            <w:tcW w:type="dxa" w:w="1728"/>
          </w:tcPr>
          <w:p>
            <w:r/>
            <w:r>
              <w:rPr>
                <w:sz w:val="18"/>
              </w:rPr>
              <w:t>0,53</w:t>
            </w:r>
          </w:p>
        </w:tc>
        <w:tc>
          <w:tcPr>
            <w:tcW w:type="dxa" w:w="1728"/>
          </w:tcPr>
          <w:p>
            <w:r/>
            <w:r>
              <w:rPr>
                <w:sz w:val="18"/>
              </w:rPr>
              <w:t>9,62 mg/L</w:t>
            </w:r>
          </w:p>
        </w:tc>
        <w:tc>
          <w:tcPr>
            <w:tcW w:type="dxa" w:w="1728"/>
          </w:tcPr>
          <w:p>
            <w:r/>
            <w:r>
              <w:rPr>
                <w:sz w:val="18"/>
              </w:rPr>
              <w:t>0,50</w:t>
            </w:r>
          </w:p>
        </w:tc>
        <w:tc>
          <w:tcPr>
            <w:tcW w:type="dxa" w:w="1728"/>
          </w:tcPr>
          <w:p>
            <w:r/>
            <w:r>
              <w:rPr>
                <w:sz w:val="18"/>
              </w:rPr>
              <w:t>10,29 mg/L</w:t>
            </w:r>
          </w:p>
        </w:tc>
      </w:tr>
      <w:tr>
        <w:tc>
          <w:tcPr>
            <w:tcW w:type="dxa" w:w="1728"/>
          </w:tcPr>
          <w:p>
            <w:r/>
            <w:r>
              <w:rPr>
                <w:sz w:val="18"/>
              </w:rPr>
              <w:t>Fósforo Total</w:t>
            </w:r>
          </w:p>
        </w:tc>
        <w:tc>
          <w:tcPr>
            <w:tcW w:type="dxa" w:w="1728"/>
          </w:tcPr>
          <w:p>
            <w:r/>
            <w:r>
              <w:rPr>
                <w:sz w:val="18"/>
              </w:rPr>
              <w:t>0,54</w:t>
            </w:r>
          </w:p>
        </w:tc>
        <w:tc>
          <w:tcPr>
            <w:tcW w:type="dxa" w:w="1728"/>
          </w:tcPr>
          <w:p>
            <w:r/>
            <w:r>
              <w:rPr>
                <w:sz w:val="18"/>
              </w:rPr>
              <w:t>0,41 mg/L</w:t>
            </w:r>
          </w:p>
        </w:tc>
        <w:tc>
          <w:tcPr>
            <w:tcW w:type="dxa" w:w="1728"/>
          </w:tcPr>
          <w:p>
            <w:r/>
            <w:r>
              <w:rPr>
                <w:sz w:val="18"/>
              </w:rPr>
              <w:t>0,50</w:t>
            </w:r>
          </w:p>
        </w:tc>
        <w:tc>
          <w:tcPr>
            <w:tcW w:type="dxa" w:w="1728"/>
          </w:tcPr>
          <w:p>
            <w:r/>
            <w:r>
              <w:rPr>
                <w:sz w:val="18"/>
              </w:rPr>
              <w:t>0,43 mg/L</w:t>
            </w:r>
          </w:p>
        </w:tc>
      </w:tr>
      <w:tr>
        <w:tc>
          <w:tcPr>
            <w:tcW w:type="dxa" w:w="1728"/>
          </w:tcPr>
          <w:p>
            <w:r/>
            <w:r>
              <w:rPr>
                <w:sz w:val="18"/>
              </w:rPr>
              <w:t>Nitrogênio Amoniacal</w:t>
            </w:r>
          </w:p>
        </w:tc>
        <w:tc>
          <w:tcPr>
            <w:tcW w:type="dxa" w:w="1728"/>
          </w:tcPr>
          <w:p>
            <w:r/>
            <w:r>
              <w:rPr>
                <w:sz w:val="18"/>
              </w:rPr>
              <w:t>0,64</w:t>
            </w:r>
          </w:p>
        </w:tc>
        <w:tc>
          <w:tcPr>
            <w:tcW w:type="dxa" w:w="1728"/>
          </w:tcPr>
          <w:p>
            <w:r/>
            <w:r>
              <w:rPr>
                <w:sz w:val="18"/>
              </w:rPr>
              <w:t>3,22 mg/L</w:t>
            </w:r>
          </w:p>
        </w:tc>
        <w:tc>
          <w:tcPr>
            <w:tcW w:type="dxa" w:w="1728"/>
          </w:tcPr>
          <w:p>
            <w:r/>
            <w:r>
              <w:rPr>
                <w:sz w:val="18"/>
              </w:rPr>
              <w:t>0,58</w:t>
            </w:r>
          </w:p>
        </w:tc>
        <w:tc>
          <w:tcPr>
            <w:tcW w:type="dxa" w:w="1728"/>
          </w:tcPr>
          <w:p>
            <w:r/>
            <w:r>
              <w:rPr>
                <w:sz w:val="18"/>
              </w:rPr>
              <w:t>3,56 mg/L</w:t>
            </w:r>
          </w:p>
        </w:tc>
      </w:tr>
    </w:tbl>
    <w:p>
      <w:pPr>
        <w:jc w:val="center"/>
      </w:pPr>
      <w:r>
        <w:drawing>
          <wp:inline xmlns:a="http://schemas.openxmlformats.org/drawingml/2006/main" xmlns:pic="http://schemas.openxmlformats.org/drawingml/2006/picture">
            <wp:extent cx="5580000" cy="2972371"/>
            <wp:docPr id="39" name="Picture 39"/>
            <wp:cNvGraphicFramePr>
              <a:graphicFrameLocks noChangeAspect="1"/>
            </wp:cNvGraphicFramePr>
            <a:graphic>
              <a:graphicData uri="http://schemas.openxmlformats.org/drawingml/2006/picture">
                <pic:pic>
                  <pic:nvPicPr>
                    <pic:cNvPr id="0" name="shap_optico_od.png"/>
                    <pic:cNvPicPr/>
                  </pic:nvPicPr>
                  <pic:blipFill>
                    <a:blip r:embed="rId47"/>
                    <a:stretch>
                      <a:fillRect/>
                    </a:stretch>
                  </pic:blipFill>
                  <pic:spPr>
                    <a:xfrm>
                      <a:off x="0" y="0"/>
                      <a:ext cx="5580000" cy="2972371"/>
                    </a:xfrm>
                    <a:prstGeom prst="rect"/>
                  </pic:spPr>
                </pic:pic>
              </a:graphicData>
            </a:graphic>
          </wp:inline>
        </w:drawing>
      </w:r>
    </w:p>
    <w:p>
      <w:pPr>
        <w:jc w:val="center"/>
      </w:pPr>
      <w:r>
        <w:rPr>
          <w:i/>
          <w:color w:val="6B6F68"/>
          <w:sz w:val="18"/>
        </w:rPr>
        <w:t>SHAP — modelo de OD a partir do proxy óptico (Carbono Orgânico</w:t>
        <w:br/>
        <w:t>Total).</w:t>
      </w:r>
    </w:p>
    <w:tbl>
      <w:tblPr>
        <w:tblW w:type="auto" w:w="0"/>
        <w:tblLook w:firstColumn="1" w:firstRow="1" w:lastColumn="0" w:lastRow="0" w:noHBand="0" w:noVBand="1" w:val="04A0"/>
      </w:tblPr>
      <w:tblGrid>
        <w:gridCol w:w="8640"/>
      </w:tblGrid>
      <w:tr>
        <w:tc>
          <w:tcPr>
            <w:tcW w:type="dxa" w:w="8640"/>
            <w:shd w:fill="FBEAEA"/>
          </w:tcPr>
          <w:p>
            <w:r/>
            <w:r>
              <w:rPr>
                <w:b/>
                <w:color w:val="D03B3B"/>
                <w:sz w:val="17"/>
              </w:rPr>
              <w:t>RESPOSTA À PERGUNTA DE ATRIBUIÇÃO DE CAUSA</w:t>
            </w:r>
          </w:p>
          <w:p>
            <w:r>
              <w:rPr>
                <w:b/>
                <w:sz w:val="19"/>
              </w:rPr>
              <w:t>Sim, com skill moderada (R² 0,41-0,64), um único proxy óptico real (Carbono Orgânico Total) mais</w:t>
              <w:br/>
              <w:t>contexto hidrológico consegue inferir OD/DBO/nutrientes</w:t>
            </w:r>
            <w:r>
              <w:rPr>
                <w:sz w:val="19"/>
              </w:rPr>
              <w:t xml:space="preserve"> — RandomForest supera XGBoost nos 4 alvos</w:t>
              <w:br/>
              <w:t>(coerente com o volume de dado moderado e poucas features, onde RF tende a generalizar melhor que boosting). O</w:t>
              <w:br/>
              <w:t>SHAP confirma que o proxy óptico domina a predição (importância muito acima de vazão/chuva/mês em todos os 4</w:t>
              <w:br/>
              <w:t xml:space="preserve">alvos, ver </w:t>
            </w:r>
            <w:r>
              <w:rPr>
                <w:rFonts w:ascii="Consolas" w:hAnsi="Consolas"/>
                <w:color w:val="2A78D6"/>
                <w:sz w:val="19"/>
              </w:rPr>
              <w:t>results.json</w:t>
            </w:r>
            <w:r>
              <w:rPr>
                <w:sz w:val="19"/>
              </w:rPr>
              <w:t xml:space="preserve"> completo) — ou seja, o modelo está de fato usando o sinal óptico, não</w:t>
              <w:br/>
              <w:t>"memorizando" o contexto hidrológico por baixo. Isso é evidência real (não simulada) de que um sensor capaz de</w:t>
              <w:br/>
              <w:t>estimar carbono orgânico/CDOM por reflectância teria, em princípio, poder preditivo genuíno sobre a saúde do</w:t>
              <w:br/>
              <w:t>oxigênio dissolvido do rio.</w:t>
            </w:r>
          </w:p>
        </w:tc>
      </w:tr>
    </w:tbl>
    <w:p/>
    <w:p>
      <w:r>
        <w:br w:type="page"/>
      </w:r>
    </w:p>
    <w:p>
      <w:pPr>
        <w:pStyle w:val="Heading1"/>
      </w:pPr>
      <w:r>
        <w:t>23 — Teste de generalização espaço-temporal do modelo</w:t>
      </w:r>
    </w:p>
    <w:p>
      <w:r>
        <w:t>A segunda pergunta do documento de referência — o modelo generaliza entre trechos e entre estações</w:t>
        <w:br/>
        <w:t>do ano? — foi testada diretamente: treinamos o modelo de OD (proxy óptico + hidrologia, sem informar o trecho)</w:t>
        <w:br/>
        <w:t>em um trecho/estação e testamos em outro, comparando com uma referência honesta (treino e teste dentro do MESMO</w:t>
        <w:br/>
        <w:t>grupo, com separação aleatória).</w:t>
      </w:r>
    </w:p>
    <w:p>
      <w:pPr>
        <w:jc w:val="center"/>
      </w:pPr>
      <w:r>
        <w:drawing>
          <wp:inline xmlns:a="http://schemas.openxmlformats.org/drawingml/2006/main" xmlns:pic="http://schemas.openxmlformats.org/drawingml/2006/picture">
            <wp:extent cx="5580000" cy="4699337"/>
            <wp:docPr id="40" name="Picture 40"/>
            <wp:cNvGraphicFramePr>
              <a:graphicFrameLocks noChangeAspect="1"/>
            </wp:cNvGraphicFramePr>
            <a:graphic>
              <a:graphicData uri="http://schemas.openxmlformats.org/drawingml/2006/picture">
                <pic:pic>
                  <pic:nvPicPr>
                    <pic:cNvPr id="0" name="generalizacao_espacial_heatmap.png"/>
                    <pic:cNvPicPr/>
                  </pic:nvPicPr>
                  <pic:blipFill>
                    <a:blip r:embed="rId48"/>
                    <a:stretch>
                      <a:fillRect/>
                    </a:stretch>
                  </pic:blipFill>
                  <pic:spPr>
                    <a:xfrm>
                      <a:off x="0" y="0"/>
                      <a:ext cx="5580000" cy="4699337"/>
                    </a:xfrm>
                    <a:prstGeom prst="rect"/>
                  </pic:spPr>
                </pic:pic>
              </a:graphicData>
            </a:graphic>
          </wp:inline>
        </w:drawing>
      </w:r>
    </w:p>
    <w:p>
      <w:pPr>
        <w:jc w:val="center"/>
      </w:pPr>
      <w:r>
        <w:rPr>
          <w:i/>
          <w:color w:val="6B6F68"/>
          <w:sz w:val="18"/>
        </w:rPr>
        <w:t>R² no teste — treinado na linha, testado na coluna</w:t>
        <w:br/>
        <w:t>(trechos).</w:t>
      </w:r>
    </w:p>
    <w:tbl>
      <w:tblPr>
        <w:tblW w:type="auto" w:w="0"/>
        <w:tblLook w:firstColumn="1" w:firstRow="1" w:lastColumn="0" w:lastRow="0" w:noHBand="0" w:noVBand="1" w:val="04A0"/>
      </w:tblPr>
      <w:tblGrid>
        <w:gridCol w:w="8640"/>
      </w:tblGrid>
      <w:tr>
        <w:tc>
          <w:tcPr>
            <w:tcW w:type="dxa" w:w="8640"/>
            <w:shd w:fill="FBEAEA"/>
          </w:tcPr>
          <w:p>
            <w:r/>
            <w:r>
              <w:rPr>
                <w:b/>
                <w:color w:val="D03B3B"/>
                <w:sz w:val="17"/>
              </w:rPr>
              <w:t>RESPOSTA: GENERALIZAÇÃO ESPACIAL FALHA</w:t>
            </w:r>
          </w:p>
          <w:p>
            <w:r>
              <w:rPr>
                <w:sz w:val="19"/>
              </w:rPr>
              <w:t>Dentro do mesmo trecho, o modelo tem skill real (Alto Tietê R²=0,69, Baixo Tietê R²=0,71 — Médio Tietê mais</w:t>
              <w:br/>
              <w:t xml:space="preserve">fraco, R²=0,05). Mas </w:t>
            </w:r>
            <w:r>
              <w:rPr>
                <w:b/>
                <w:sz w:val="19"/>
              </w:rPr>
              <w:t>toda transferência entre trechos dá R² negativo</w:t>
            </w:r>
            <w:r>
              <w:rPr>
                <w:sz w:val="19"/>
              </w:rPr>
              <w:t xml:space="preserve"> (pior que simplesmente</w:t>
              <w:br/>
              <w:t>prever a média) — de -0,13 (Médio→Baixo) a -5,31 (Baixo→Alto). Um modelo calibrado no Alto Tietê não serve para</w:t>
              <w:br/>
              <w:t>o Médio/Baixo Tietê, e vice-versa: a relação entre carbono orgânico e oxigênio dissolvido muda de patamar e de</w:t>
              <w:br/>
              <w:t>inclinação entre trechos (o que já era visível na Seção 10, onde os níveis-base de OD/DBO diferem em várias</w:t>
              <w:br/>
              <w:t xml:space="preserve">vezes entre trechos). </w:t>
            </w:r>
            <w:r>
              <w:rPr>
                <w:b/>
                <w:sz w:val="19"/>
              </w:rPr>
              <w:t>Implicação prática: qualquer algoritmo de satélite para o Tietê precisa de</w:t>
              <w:br/>
              <w:t>calibração local por trecho, não um único modelo para o rio inteiro.</w:t>
            </w:r>
          </w:p>
        </w:tc>
      </w:tr>
    </w:tbl>
    <w:p/>
    <w:p>
      <w:pPr>
        <w:jc w:val="center"/>
      </w:pPr>
      <w:r>
        <w:drawing>
          <wp:inline xmlns:a="http://schemas.openxmlformats.org/drawingml/2006/main" xmlns:pic="http://schemas.openxmlformats.org/drawingml/2006/picture">
            <wp:extent cx="5580000" cy="4911689"/>
            <wp:docPr id="41" name="Picture 41"/>
            <wp:cNvGraphicFramePr>
              <a:graphicFrameLocks noChangeAspect="1"/>
            </wp:cNvGraphicFramePr>
            <a:graphic>
              <a:graphicData uri="http://schemas.openxmlformats.org/drawingml/2006/picture">
                <pic:pic>
                  <pic:nvPicPr>
                    <pic:cNvPr id="0" name="generalizacao_temporal_heatmap.png"/>
                    <pic:cNvPicPr/>
                  </pic:nvPicPr>
                  <pic:blipFill>
                    <a:blip r:embed="rId49"/>
                    <a:stretch>
                      <a:fillRect/>
                    </a:stretch>
                  </pic:blipFill>
                  <pic:spPr>
                    <a:xfrm>
                      <a:off x="0" y="0"/>
                      <a:ext cx="5580000" cy="4911689"/>
                    </a:xfrm>
                    <a:prstGeom prst="rect"/>
                  </pic:spPr>
                </pic:pic>
              </a:graphicData>
            </a:graphic>
          </wp:inline>
        </w:drawing>
      </w:r>
    </w:p>
    <w:p>
      <w:pPr>
        <w:jc w:val="center"/>
      </w:pPr>
      <w:r>
        <w:rPr>
          <w:i/>
          <w:color w:val="6B6F68"/>
          <w:sz w:val="18"/>
        </w:rPr>
        <w:t>R² no teste — treinado na linha, testado na coluna</w:t>
        <w:br/>
        <w:t>(estações do ano).</w:t>
      </w:r>
    </w:p>
    <w:tbl>
      <w:tblPr>
        <w:tblW w:type="auto" w:w="0"/>
        <w:tblLook w:firstColumn="1" w:firstRow="1" w:lastColumn="0" w:lastRow="0" w:noHBand="0" w:noVBand="1" w:val="04A0"/>
      </w:tblPr>
      <w:tblGrid>
        <w:gridCol w:w="8640"/>
      </w:tblGrid>
      <w:tr>
        <w:tc>
          <w:tcPr>
            <w:tcW w:type="dxa" w:w="8640"/>
            <w:shd w:fill="EAF1FB"/>
          </w:tcPr>
          <w:p>
            <w:r/>
            <w:r>
              <w:rPr>
                <w:b/>
                <w:color w:val="2A78D6"/>
                <w:sz w:val="17"/>
              </w:rPr>
              <w:t>RESPOSTA: GENERALIZAÇÃO SAZONAL É PARCIAL</w:t>
            </w:r>
          </w:p>
          <w:p>
            <w:r>
              <w:rPr>
                <w:sz w:val="19"/>
              </w:rPr>
              <w:t>Diferente do espaço, a generalização entre estações é mista, não uma falha uniforme: seca→transição (R²=0,39),</w:t>
              <w:br/>
              <w:t xml:space="preserve">transição→seca (R²=0,55) e chuvosa→seca/transição (R²=0,40/0,42) mantêm skill razoável, mas </w:t>
            </w:r>
            <w:r>
              <w:rPr>
                <w:b/>
                <w:sz w:val="19"/>
              </w:rPr>
              <w:t>qualquer</w:t>
              <w:br/>
              <w:t>direção que termine na estação chuvosa a partir da seca falha</w:t>
            </w:r>
            <w:r>
              <w:rPr>
                <w:sz w:val="19"/>
              </w:rPr>
              <w:t xml:space="preserve"> (seca→chuvosa R²=-0,15). A leitura mais</w:t>
              <w:br/>
              <w:t>provável: a diluição por chuva intensa muda a relação carbono-orgânico↔OD de forma não capturada por um modelo</w:t>
              <w:br/>
              <w:t>calibrado em período seco — os eventos de chuva forte parecem introduzir um regime distinto (possível</w:t>
              <w:br/>
              <w:t>ressuspensão de sedimento + pulso de poluição por escoamento superficial, "first flush"), não uma simples</w:t>
              <w:br/>
              <w:t>extrapolação linear do regime seco.</w:t>
            </w:r>
          </w:p>
        </w:tc>
      </w:tr>
    </w:tbl>
    <w:p/>
    <w:p>
      <w:r>
        <w:br w:type="page"/>
      </w:r>
    </w:p>
    <w:p>
      <w:pPr>
        <w:pStyle w:val="Heading1"/>
      </w:pPr>
      <w:r>
        <w:t>24 — Decomposição de causas da Turbidez: erosão × eutrofização × poluição pontual</w:t>
      </w:r>
    </w:p>
    <w:p>
      <w:r>
        <w:t>A pergunta "uma queda de refletância é causada por erosão, algas ou despejo industrial?" foi</w:t>
        <w:br/>
        <w:t>testada com um RandomForest+SHAP explicando a Turbidez real (n=833, R² teste=0,55) a partir de 3 grupos de</w:t>
        <w:br/>
        <w:t xml:space="preserve">variáveis-hipótese: </w:t>
      </w:r>
      <w:r>
        <w:rPr>
          <w:b/>
        </w:rPr>
        <w:t>erosão/hidrologia</w:t>
      </w:r>
      <w:r>
        <w:t xml:space="preserve"> (vazão, chuva), </w:t>
      </w:r>
      <w:r>
        <w:rPr>
          <w:b/>
        </w:rPr>
        <w:t>eutrofização</w:t>
      </w:r>
      <w:r>
        <w:t xml:space="preserve"> (Fósforo,</w:t>
        <w:br/>
        <w:t xml:space="preserve">Nitrogênio Amoniacal, Clorofila-a) e </w:t>
      </w:r>
      <w:r>
        <w:rPr>
          <w:b/>
        </w:rPr>
        <w:t>poluição industrial pontual</w:t>
      </w:r>
      <w:r>
        <w:t xml:space="preserve"> (Zinco, Mercúrio).</w:t>
      </w:r>
    </w:p>
    <w:p>
      <w:pPr>
        <w:jc w:val="center"/>
      </w:pPr>
      <w:r>
        <w:drawing>
          <wp:inline xmlns:a="http://schemas.openxmlformats.org/drawingml/2006/main" xmlns:pic="http://schemas.openxmlformats.org/drawingml/2006/picture">
            <wp:extent cx="5580000" cy="2428000"/>
            <wp:docPr id="42" name="Picture 42"/>
            <wp:cNvGraphicFramePr>
              <a:graphicFrameLocks noChangeAspect="1"/>
            </wp:cNvGraphicFramePr>
            <a:graphic>
              <a:graphicData uri="http://schemas.openxmlformats.org/drawingml/2006/picture">
                <pic:pic>
                  <pic:nvPicPr>
                    <pic:cNvPr id="0" name="causas_turbidez.png"/>
                    <pic:cNvPicPr/>
                  </pic:nvPicPr>
                  <pic:blipFill>
                    <a:blip r:embed="rId50"/>
                    <a:stretch>
                      <a:fillRect/>
                    </a:stretch>
                  </pic:blipFill>
                  <pic:spPr>
                    <a:xfrm>
                      <a:off x="0" y="0"/>
                      <a:ext cx="5580000" cy="2428000"/>
                    </a:xfrm>
                    <a:prstGeom prst="rect"/>
                  </pic:spPr>
                </pic:pic>
              </a:graphicData>
            </a:graphic>
          </wp:inline>
        </w:drawing>
      </w:r>
    </w:p>
    <w:p>
      <w:pPr>
        <w:jc w:val="center"/>
      </w:pPr>
      <w:r>
        <w:rPr>
          <w:i/>
          <w:color w:val="6B6F68"/>
          <w:sz w:val="18"/>
        </w:rPr>
        <w:t>Importância SHAP individual e participação agregada de cada hipótese</w:t>
        <w:br/>
        <w:t>de causa na Turbidez.</w:t>
      </w:r>
    </w:p>
    <w:tbl>
      <w:tblPr>
        <w:tblW w:type="auto" w:w="0"/>
        <w:tblLook w:firstColumn="1" w:firstRow="1" w:lastColumn="0" w:lastRow="0" w:noHBand="0" w:noVBand="1" w:val="04A0"/>
      </w:tblPr>
      <w:tblGrid>
        <w:gridCol w:w="8640"/>
      </w:tblGrid>
      <w:tr>
        <w:tc>
          <w:tcPr>
            <w:tcW w:type="dxa" w:w="8640"/>
            <w:shd w:fill="FBEAEA"/>
          </w:tcPr>
          <w:p>
            <w:r/>
            <w:r>
              <w:rPr>
                <w:b/>
                <w:color w:val="D03B3B"/>
                <w:sz w:val="17"/>
              </w:rPr>
              <w:t>ACHADO</w:t>
            </w:r>
          </w:p>
          <w:p>
            <w:r>
              <w:rPr>
                <w:sz w:val="19"/>
              </w:rPr>
              <w:t xml:space="preserve">Nenhuma causa isolada domina, mas a ordem é reveladora: </w:t>
            </w:r>
            <w:r>
              <w:rPr>
                <w:b/>
                <w:sz w:val="19"/>
              </w:rPr>
              <w:t>poluição industrial pontual (Zinco/Mercúrio)</w:t>
              <w:br/>
              <w:t>responde por 39,6%</w:t>
            </w:r>
            <w:r>
              <w:rPr>
                <w:sz w:val="19"/>
              </w:rPr>
              <w:t xml:space="preserve"> da importância explicada, </w:t>
            </w:r>
            <w:r>
              <w:rPr>
                <w:b/>
                <w:sz w:val="19"/>
              </w:rPr>
              <w:t>eutrofização por 35,3%</w:t>
            </w:r>
            <w:r>
              <w:rPr>
                <w:sz w:val="19"/>
              </w:rPr>
              <w:t xml:space="preserve"> e</w:t>
              <w:br/>
            </w:r>
            <w:r>
              <w:rPr>
                <w:b/>
                <w:sz w:val="19"/>
              </w:rPr>
              <w:t>erosão/hidrologia pela menor fatia, 25,1%</w:t>
            </w:r>
            <w:r>
              <w:rPr>
                <w:sz w:val="19"/>
              </w:rPr>
              <w:t>. Isso sugere que, no eixo monitorado do Tietê, picos de</w:t>
              <w:br/>
              <w:t>turbidez se associam mais a condições que também elevam metais e nutrientes (despejo urbano/industrial</w:t>
              <w:br/>
              <w:t>concentrado) do que a eventos puramente hidrológicos (chuva lavando sedimento do solo) — outro indício, alinhado</w:t>
              <w:br/>
              <w:t>à Seção 10, de que a pressão dominante sobre o rio é de origem antrópica concentrada, não erosão natural difusa.</w:t>
              <w:br/>
              <w:t>Esta é uma estimativa de associação (SHAP sobre correlação), não um experimento causal controlado — a</w:t>
              <w:br/>
              <w:t>decomposição deveria ser revisitada se/quando dados de sensoriamento remoto real (imagem, não tabela simulada)</w:t>
              <w:br/>
              <w:t>entrarem no pipeline.</w:t>
            </w:r>
          </w:p>
        </w:tc>
      </w:tr>
    </w:tbl>
    <w:p/>
    <w:p>
      <w:r>
        <w:br w:type="page"/>
      </w:r>
    </w:p>
    <w:p>
      <w:pPr>
        <w:pStyle w:val="Heading1"/>
      </w:pPr>
      <w:r>
        <w:t>25 — Variáveis contextuais: uso do solo real (MapBiomas)</w:t>
      </w:r>
    </w:p>
    <w:p>
      <w:r>
        <w:t>O terceiro grupo de variáveis do documento de referência (uso do solo, mata ciliar, área</w:t>
        <w:br/>
        <w:t>impermeabilizada) — que numa versão anterior desta EDA era uma lacuna declarada (conector MapBiomas ainda como</w:t>
        <w:br/>
        <w:t xml:space="preserve">stub) — passou a ter dado </w:t>
      </w:r>
      <w:r>
        <w:rPr>
          <w:b/>
        </w:rPr>
        <w:t>real e quantitativo</w:t>
      </w:r>
      <w:r>
        <w:t xml:space="preserve"> desde a integração com o Google Earth Engine</w:t>
        <w:br/>
        <w:t>(MapBiomas Coleção 9, 1985-2023, buffer de 5 km ao redor das estações reais de cada trecho).</w:t>
      </w:r>
    </w:p>
    <w:tbl>
      <w:tblPr>
        <w:tblW w:type="auto" w:w="0"/>
        <w:tblLook w:firstColumn="1" w:firstRow="1" w:lastColumn="0" w:lastRow="0" w:noHBand="0" w:noVBand="1" w:val="04A0"/>
      </w:tblPr>
      <w:tblGrid>
        <w:gridCol w:w="8640"/>
      </w:tblGrid>
      <w:tr>
        <w:tc>
          <w:tcPr>
            <w:tcW w:type="dxa" w:w="8640"/>
            <w:shd w:fill="FBEAEA"/>
          </w:tcPr>
          <w:p>
            <w:r/>
            <w:r>
              <w:rPr>
                <w:b/>
                <w:color w:val="D03B3B"/>
                <w:sz w:val="17"/>
              </w:rPr>
              <w:t>ATUALIZAÇÃO</w:t>
            </w:r>
          </w:p>
          <w:p>
            <w:r>
              <w:rPr>
                <w:rFonts w:ascii="Consolas" w:hAnsi="Consolas"/>
                <w:color w:val="2A78D6"/>
                <w:sz w:val="19"/>
              </w:rPr>
              <w:t>ingestion.connectors.mapbiomas</w:t>
            </w:r>
            <w:r>
              <w:rPr>
                <w:sz w:val="19"/>
              </w:rPr>
              <w:t xml:space="preserve"> deixou de ser stub: hoje busca, via</w:t>
              <w:br/>
            </w:r>
            <w:r>
              <w:rPr>
                <w:rFonts w:ascii="Consolas" w:hAnsi="Consolas"/>
                <w:color w:val="2A78D6"/>
                <w:sz w:val="19"/>
              </w:rPr>
              <w:t>reduceRegion</w:t>
            </w:r>
            <w:r>
              <w:rPr>
                <w:sz w:val="19"/>
              </w:rPr>
              <w:t xml:space="preserve"> no servidor do Earth Engine, o percentual de área por macro-categoria</w:t>
              <w:br/>
              <w:t>(natural/agropecuária/urbano-industrial/água) para os 39 anos da Coleção 9. A tabela</w:t>
              <w:br/>
            </w:r>
            <w:r>
              <w:rPr>
                <w:rFonts w:ascii="Consolas" w:hAnsi="Consolas"/>
                <w:color w:val="2A78D6"/>
                <w:sz w:val="19"/>
              </w:rPr>
              <w:t>silver.uso_solo</w:t>
            </w:r>
            <w:r>
              <w:rPr>
                <w:sz w:val="19"/>
              </w:rPr>
              <w:t xml:space="preserve"> resultante já alimenta os modelos de ML (Seção 22-24) como preditora real, ao lado</w:t>
              <w:br/>
              <w:t>de vazão e chuva.</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7"/>
              </w:rPr>
              <w:t>Trecho</w:t>
            </w:r>
          </w:p>
        </w:tc>
        <w:tc>
          <w:tcPr>
            <w:tcW w:type="dxa" w:w="1728"/>
          </w:tcPr>
          <w:p>
            <w:r/>
            <w:r>
              <w:rPr>
                <w:b/>
                <w:sz w:val="17"/>
              </w:rPr>
              <w:t>% Natural</w:t>
            </w:r>
          </w:p>
        </w:tc>
        <w:tc>
          <w:tcPr>
            <w:tcW w:type="dxa" w:w="1728"/>
          </w:tcPr>
          <w:p>
            <w:r/>
            <w:r>
              <w:rPr>
                <w:b/>
                <w:sz w:val="17"/>
              </w:rPr>
              <w:t>% Agropecuária</w:t>
            </w:r>
          </w:p>
        </w:tc>
        <w:tc>
          <w:tcPr>
            <w:tcW w:type="dxa" w:w="1728"/>
          </w:tcPr>
          <w:p>
            <w:r/>
            <w:r>
              <w:rPr>
                <w:b/>
                <w:sz w:val="17"/>
              </w:rPr>
              <w:t>% Urbano/Industrial</w:t>
            </w:r>
          </w:p>
        </w:tc>
        <w:tc>
          <w:tcPr>
            <w:tcW w:type="dxa" w:w="1728"/>
          </w:tcPr>
          <w:p>
            <w:r/>
            <w:r>
              <w:rPr>
                <w:b/>
                <w:sz w:val="17"/>
              </w:rPr>
              <w:t>% Água</w:t>
            </w:r>
          </w:p>
        </w:tc>
      </w:tr>
      <w:tr>
        <w:tc>
          <w:tcPr>
            <w:tcW w:type="dxa" w:w="1728"/>
          </w:tcPr>
          <w:p>
            <w:r/>
            <w:r>
              <w:rPr>
                <w:sz w:val="18"/>
              </w:rPr>
              <w:t>Alto Tietê (1985 → 2023)</w:t>
            </w:r>
          </w:p>
        </w:tc>
        <w:tc>
          <w:tcPr>
            <w:tcW w:type="dxa" w:w="1728"/>
          </w:tcPr>
          <w:p>
            <w:r/>
            <w:r>
              <w:rPr>
                <w:sz w:val="18"/>
              </w:rPr>
              <w:t>18,6% → 16,5%</w:t>
            </w:r>
          </w:p>
        </w:tc>
        <w:tc>
          <w:tcPr>
            <w:tcW w:type="dxa" w:w="1728"/>
          </w:tcPr>
          <w:p>
            <w:r/>
            <w:r>
              <w:rPr>
                <w:sz w:val="18"/>
              </w:rPr>
              <w:t>34,2% → 25,3%</w:t>
            </w:r>
          </w:p>
        </w:tc>
        <w:tc>
          <w:tcPr>
            <w:tcW w:type="dxa" w:w="1728"/>
          </w:tcPr>
          <w:p>
            <w:r/>
            <w:r>
              <w:rPr>
                <w:color w:val="D03B3B"/>
                <w:sz w:val="18"/>
              </w:rPr>
              <w:t>44,2% → 55,6%</w:t>
            </w:r>
          </w:p>
        </w:tc>
        <w:tc>
          <w:tcPr>
            <w:tcW w:type="dxa" w:w="1728"/>
          </w:tcPr>
          <w:p>
            <w:r/>
            <w:r>
              <w:rPr>
                <w:sz w:val="18"/>
              </w:rPr>
              <w:t>2,0% → 1,4%</w:t>
            </w:r>
          </w:p>
        </w:tc>
      </w:tr>
      <w:tr>
        <w:tc>
          <w:tcPr>
            <w:tcW w:type="dxa" w:w="1728"/>
          </w:tcPr>
          <w:p>
            <w:r/>
            <w:r>
              <w:rPr>
                <w:sz w:val="18"/>
              </w:rPr>
              <w:t>Médio Tietê (1985 → 2023)</w:t>
            </w:r>
          </w:p>
        </w:tc>
        <w:tc>
          <w:tcPr>
            <w:tcW w:type="dxa" w:w="1728"/>
          </w:tcPr>
          <w:p>
            <w:r/>
            <w:r>
              <w:rPr>
                <w:sz w:val="18"/>
              </w:rPr>
              <w:t>11,9% → 14,2%</w:t>
            </w:r>
          </w:p>
        </w:tc>
        <w:tc>
          <w:tcPr>
            <w:tcW w:type="dxa" w:w="1728"/>
          </w:tcPr>
          <w:p>
            <w:r/>
            <w:r>
              <w:rPr>
                <w:sz w:val="18"/>
              </w:rPr>
              <w:t>78,0% → 70,0%</w:t>
            </w:r>
          </w:p>
        </w:tc>
        <w:tc>
          <w:tcPr>
            <w:tcW w:type="dxa" w:w="1728"/>
          </w:tcPr>
          <w:p>
            <w:r/>
            <w:r>
              <w:rPr>
                <w:color w:val="D03B3B"/>
                <w:sz w:val="18"/>
              </w:rPr>
              <w:t>2,4% → 8,6%</w:t>
            </w:r>
          </w:p>
        </w:tc>
        <w:tc>
          <w:tcPr>
            <w:tcW w:type="dxa" w:w="1728"/>
          </w:tcPr>
          <w:p>
            <w:r/>
            <w:r>
              <w:rPr>
                <w:sz w:val="18"/>
              </w:rPr>
              <w:t>7,3% → 6,8%</w:t>
            </w:r>
          </w:p>
        </w:tc>
      </w:tr>
      <w:tr>
        <w:tc>
          <w:tcPr>
            <w:tcW w:type="dxa" w:w="1728"/>
          </w:tcPr>
          <w:p>
            <w:r/>
            <w:r>
              <w:rPr>
                <w:sz w:val="18"/>
              </w:rPr>
              <w:t>Baixo Tietê (1985 → 2023)</w:t>
            </w:r>
          </w:p>
        </w:tc>
        <w:tc>
          <w:tcPr>
            <w:tcW w:type="dxa" w:w="1728"/>
          </w:tcPr>
          <w:p>
            <w:r/>
            <w:r>
              <w:rPr>
                <w:sz w:val="18"/>
              </w:rPr>
              <w:t>2,9% → 10,6%</w:t>
            </w:r>
          </w:p>
        </w:tc>
        <w:tc>
          <w:tcPr>
            <w:tcW w:type="dxa" w:w="1728"/>
          </w:tcPr>
          <w:p>
            <w:r/>
            <w:r>
              <w:rPr>
                <w:sz w:val="18"/>
              </w:rPr>
              <w:t>73,2% → 67,0%</w:t>
            </w:r>
          </w:p>
        </w:tc>
        <w:tc>
          <w:tcPr>
            <w:tcW w:type="dxa" w:w="1728"/>
          </w:tcPr>
          <w:p>
            <w:r/>
            <w:r>
              <w:rPr>
                <w:sz w:val="18"/>
              </w:rPr>
              <w:t>0,0% → 0,0%</w:t>
            </w:r>
          </w:p>
        </w:tc>
        <w:tc>
          <w:tcPr>
            <w:tcW w:type="dxa" w:w="1728"/>
          </w:tcPr>
          <w:p>
            <w:r/>
            <w:r>
              <w:rPr>
                <w:sz w:val="18"/>
              </w:rPr>
              <w:t>23,7% → 22,2%</w:t>
            </w:r>
          </w:p>
        </w:tc>
      </w:tr>
    </w:tbl>
    <w:p>
      <w:pPr>
        <w:jc w:val="center"/>
      </w:pPr>
      <w:r>
        <w:drawing>
          <wp:inline xmlns:a="http://schemas.openxmlformats.org/drawingml/2006/main" xmlns:pic="http://schemas.openxmlformats.org/drawingml/2006/picture">
            <wp:extent cx="5580000" cy="1760372"/>
            <wp:docPr id="43" name="Picture 43"/>
            <wp:cNvGraphicFramePr>
              <a:graphicFrameLocks noChangeAspect="1"/>
            </wp:cNvGraphicFramePr>
            <a:graphic>
              <a:graphicData uri="http://schemas.openxmlformats.org/drawingml/2006/picture">
                <pic:pic>
                  <pic:nvPicPr>
                    <pic:cNvPr id="0" name="uso_solo_mapbiomas_real.png"/>
                    <pic:cNvPicPr/>
                  </pic:nvPicPr>
                  <pic:blipFill>
                    <a:blip r:embed="rId51"/>
                    <a:stretch>
                      <a:fillRect/>
                    </a:stretch>
                  </pic:blipFill>
                  <pic:spPr>
                    <a:xfrm>
                      <a:off x="0" y="0"/>
                      <a:ext cx="5580000" cy="1760372"/>
                    </a:xfrm>
                    <a:prstGeom prst="rect"/>
                  </pic:spPr>
                </pic:pic>
              </a:graphicData>
            </a:graphic>
          </wp:inline>
        </w:drawing>
      </w:r>
    </w:p>
    <w:p>
      <w:pPr>
        <w:jc w:val="center"/>
      </w:pPr>
      <w:r>
        <w:rPr>
          <w:i/>
          <w:color w:val="6B6F68"/>
          <w:sz w:val="18"/>
        </w:rPr>
        <w:t>Uso do solo real (MapBiomas Coleção 9, 1985-2023) por trecho, percentual de área no buffer de 5 km das estações reais.</w:t>
      </w:r>
    </w:p>
    <w:tbl>
      <w:tblPr>
        <w:tblW w:type="auto" w:w="0"/>
        <w:tblLook w:firstColumn="1" w:firstRow="1" w:lastColumn="0" w:lastRow="0" w:noHBand="0" w:noVBand="1" w:val="04A0"/>
      </w:tblPr>
      <w:tblGrid>
        <w:gridCol w:w="8640"/>
      </w:tblGrid>
      <w:tr>
        <w:tc>
          <w:tcPr>
            <w:tcW w:type="dxa" w:w="8640"/>
            <w:shd w:fill="FBEAEA"/>
          </w:tcPr>
          <w:p>
            <w:r/>
            <w:r>
              <w:rPr>
                <w:b/>
                <w:color w:val="D03B3B"/>
                <w:sz w:val="17"/>
              </w:rPr>
              <w:t>ACHADO</w:t>
            </w:r>
          </w:p>
          <w:p>
            <w:r>
              <w:rPr>
                <w:sz w:val="19"/>
              </w:rPr>
              <w:t xml:space="preserve">Os três trechos urbanizaram de forma muito diferente em 39 anos: o </w:t>
            </w:r>
            <w:r>
              <w:rPr>
                <w:b/>
                <w:sz w:val="19"/>
              </w:rPr>
              <w:t>Alto Tietê</w:t>
            </w:r>
            <w:r>
              <w:rPr>
                <w:sz w:val="19"/>
              </w:rPr>
              <w:t xml:space="preserve"> (nascente,</w:t>
              <w:br/>
              <w:t>região metropolitana de São Paulo) passou de 44,2% para 55,6% de área urbano/industrial — a maior conversão do</w:t>
              <w:br/>
              <w:t xml:space="preserve">eixo — enquanto o </w:t>
            </w:r>
            <w:r>
              <w:rPr>
                <w:b/>
                <w:sz w:val="19"/>
              </w:rPr>
              <w:t>Médio Tietê</w:t>
            </w:r>
            <w:r>
              <w:rPr>
                <w:sz w:val="19"/>
              </w:rPr>
              <w:t xml:space="preserve"> segue predominantemente agropecuário (70% em 2023), com</w:t>
              <w:br/>
              <w:t>urbanização ainda pequena mas crescendo proporcionalmente mais rápido (2,4%→8,6%, quase quadruplicou). O</w:t>
              <w:br/>
            </w:r>
            <w:r>
              <w:rPr>
                <w:b/>
                <w:sz w:val="19"/>
              </w:rPr>
              <w:t>Baixo Tietê</w:t>
            </w:r>
            <w:r>
              <w:rPr>
                <w:sz w:val="19"/>
              </w:rPr>
              <w:t xml:space="preserve"> não registra NENHUMA área urbano/industrial no buffer das suas 2 estações reais —</w:t>
              <w:br/>
              <w:t>domina como agropecuária (67-73%) e água (~22-24%, os reservatórios de Nova Avanhandava/Itapura), consistente</w:t>
              <w:br/>
              <w:t>com a foz do rio antes da confluência com o Paraná.</w:t>
            </w:r>
          </w:p>
        </w:tc>
      </w:tr>
    </w:tbl>
    <w:p/>
    <w:tbl>
      <w:tblPr>
        <w:tblW w:type="auto" w:w="0"/>
        <w:tblLook w:firstColumn="1" w:firstRow="1" w:lastColumn="0" w:lastRow="0" w:noHBand="0" w:noVBand="1" w:val="04A0"/>
      </w:tblPr>
      <w:tblGrid>
        <w:gridCol w:w="8640"/>
      </w:tblGrid>
      <w:tr>
        <w:tc>
          <w:tcPr>
            <w:tcW w:type="dxa" w:w="8640"/>
            <w:shd w:fill="EAF1FB"/>
          </w:tcPr>
          <w:p>
            <w:r/>
            <w:r>
              <w:rPr>
                <w:b/>
                <w:color w:val="2A78D6"/>
                <w:sz w:val="17"/>
              </w:rPr>
              <w:t>DE VOLTA À PERGUNTA DO DOCUMENTO DE REFERÊNCIA</w:t>
            </w:r>
          </w:p>
          <w:p>
            <w:r>
              <w:rPr>
                <w:sz w:val="19"/>
              </w:rPr>
              <w:t>Com uso do solo real disponível, a Seção 24 (SHAP "drivers", sem os lags do próprio alvo) já responde</w:t>
              <w:br/>
              <w:t xml:space="preserve">diretamente ao que esta seção antes classificava como lacuna: no Médio Tietê, </w:t>
            </w:r>
            <w:r>
              <w:rPr>
                <w:rFonts w:ascii="Consolas" w:hAnsi="Consolas"/>
                <w:color w:val="2A78D6"/>
                <w:sz w:val="19"/>
              </w:rPr>
              <w:t>% Urbano/Industrial</w:t>
            </w:r>
            <w:r>
              <w:rPr>
                <w:sz w:val="19"/>
              </w:rPr>
              <w:br/>
              <w:t>é o 2º fator mais importante para prever Oxigênio Dissolvido — atrás só da tendência secular (ano), à frente da</w:t>
              <w:br/>
              <w:t xml:space="preserve">vazão e da chuva — e </w:t>
            </w:r>
            <w:r>
              <w:rPr>
                <w:rFonts w:ascii="Consolas" w:hAnsi="Consolas"/>
                <w:color w:val="2A78D6"/>
                <w:sz w:val="19"/>
              </w:rPr>
              <w:t>% Agropecuária</w:t>
            </w:r>
            <w:r>
              <w:rPr>
                <w:sz w:val="19"/>
              </w:rPr>
              <w:t xml:space="preserve"> aparece em 3º. Uso do solo deixou de ser um substituto grosseiro</w:t>
              <w:br/>
              <w:t>(</w:t>
            </w:r>
            <w:r>
              <w:rPr>
                <w:rFonts w:ascii="Consolas" w:hAnsi="Consolas"/>
                <w:color w:val="2A78D6"/>
                <w:sz w:val="19"/>
              </w:rPr>
              <w:t>trecho_id</w:t>
            </w:r>
            <w:r>
              <w:rPr>
                <w:sz w:val="19"/>
              </w:rPr>
              <w:t xml:space="preserve"> categórico) para virar uma preditora contínua e interpretável.</w:t>
            </w:r>
          </w:p>
        </w:tc>
      </w:tr>
    </w:tbl>
    <w:p/>
    <w:p>
      <w:r>
        <w:br w:type="page"/>
      </w:r>
    </w:p>
    <w:p>
      <w:pPr>
        <w:pStyle w:val="Heading1"/>
      </w:pPr>
      <w:r>
        <w:t>26 — Sensoriamento remoto real (Landsat): resolução espacial × temporal vs. rede in situ</w:t>
      </w:r>
    </w:p>
    <w:p>
      <w:r>
        <w:t>Diferente do MapBiomas (Seção 25, um mosaico anual pronto), o histórico espectral real (NDVI,</w:t>
        <w:br/>
        <w:t>temperatura de superfície, proxy de turbidez) exigiu buscar as próprias cenas Landsat via Google Earth Engine —</w:t>
        <w:br/>
        <w:t xml:space="preserve">implementado em </w:t>
      </w:r>
      <w:r>
        <w:rPr>
          <w:rFonts w:ascii="Consolas" w:hAnsi="Consolas"/>
          <w:color w:val="2A78D6"/>
          <w:sz w:val="19"/>
        </w:rPr>
        <w:t>ingestion.connectors.sensoriamento_historico</w:t>
      </w:r>
      <w:r>
        <w:t>, hoje rodando de fato contra a API.</w:t>
      </w:r>
    </w:p>
    <w:tbl>
      <w:tblPr>
        <w:tblW w:type="auto" w:w="0"/>
        <w:tblLook w:firstColumn="1" w:firstRow="1" w:lastColumn="0" w:lastRow="0" w:noHBand="0" w:noVBand="1" w:val="04A0"/>
      </w:tblPr>
      <w:tblGrid>
        <w:gridCol w:w="2160"/>
        <w:gridCol w:w="2160"/>
        <w:gridCol w:w="2160"/>
        <w:gridCol w:w="2160"/>
      </w:tblGrid>
      <w:tr>
        <w:tc>
          <w:tcPr>
            <w:tcW w:type="dxa" w:w="2160"/>
            <w:shd w:fill="F2F1EE"/>
          </w:tcPr>
          <w:p>
            <w:r/>
            <w:r>
              <w:rPr>
                <w:b/>
                <w:color w:val="6B6F68"/>
                <w:sz w:val="15"/>
              </w:rPr>
              <w:t>Observações reais extraídas</w:t>
            </w:r>
          </w:p>
          <w:p>
            <w:r>
              <w:rPr>
                <w:b/>
                <w:sz w:val="30"/>
              </w:rPr>
              <w:t>903</w:t>
            </w:r>
          </w:p>
          <w:p>
            <w:r>
              <w:rPr>
                <w:color w:val="6B6F68"/>
                <w:sz w:val="15"/>
              </w:rPr>
              <w:t>7 pontos × ~39 anos, Landsat 5/7/8/9</w:t>
            </w:r>
          </w:p>
        </w:tc>
        <w:tc>
          <w:tcPr>
            <w:tcW w:type="dxa" w:w="2160"/>
            <w:shd w:fill="F2F1EE"/>
          </w:tcPr>
          <w:p>
            <w:r/>
            <w:r>
              <w:rPr>
                <w:b/>
                <w:color w:val="6B6F68"/>
                <w:sz w:val="15"/>
              </w:rPr>
              <w:t>Cobertura temporal</w:t>
            </w:r>
          </w:p>
          <w:p>
            <w:r>
              <w:rPr>
                <w:b/>
                <w:sz w:val="30"/>
              </w:rPr>
              <w:t>1984–2026</w:t>
            </w:r>
          </w:p>
          <w:p>
            <w:r>
              <w:rPr>
                <w:color w:val="6B6F68"/>
                <w:sz w:val="15"/>
              </w:rPr>
              <w:t>Landsat Collection 2, sem lacuna entre sensores</w:t>
            </w:r>
          </w:p>
        </w:tc>
        <w:tc>
          <w:tcPr>
            <w:tcW w:type="dxa" w:w="2160"/>
            <w:shd w:fill="F2F1EE"/>
          </w:tcPr>
          <w:p>
            <w:r/>
            <w:r>
              <w:rPr>
                <w:b/>
                <w:color w:val="6B6F68"/>
                <w:sz w:val="15"/>
              </w:rPr>
              <w:t>Pontos de monitoramento reais (CETESB)</w:t>
            </w:r>
          </w:p>
          <w:p>
            <w:r>
              <w:rPr>
                <w:b/>
                <w:sz w:val="30"/>
              </w:rPr>
              <w:t>32</w:t>
            </w:r>
          </w:p>
          <w:p>
            <w:r>
              <w:rPr>
                <w:color w:val="6B6F68"/>
                <w:sz w:val="15"/>
              </w:rPr>
              <w:t>ao longo de ~1.100 km de eixo</w:t>
            </w:r>
          </w:p>
        </w:tc>
        <w:tc>
          <w:tcPr>
            <w:tcW w:type="dxa" w:w="2160"/>
            <w:shd w:fill="F2F1EE"/>
          </w:tcPr>
          <w:p>
            <w:r/>
            <w:r>
              <w:rPr>
                <w:b/>
                <w:color w:val="6B6F68"/>
                <w:sz w:val="15"/>
              </w:rPr>
              <w:t>Intervalo mediano entre coletas (CETESB)</w:t>
            </w:r>
          </w:p>
          <w:p>
            <w:r>
              <w:rPr>
                <w:b/>
                <w:sz w:val="30"/>
              </w:rPr>
              <w:t>56 dias</w:t>
            </w:r>
          </w:p>
          <w:p>
            <w:r>
              <w:rPr>
                <w:color w:val="6B6F68"/>
                <w:sz w:val="15"/>
              </w:rPr>
              <w:t>no mesmo ponto (~bimestral)</w:t>
            </w:r>
          </w:p>
        </w:tc>
      </w:tr>
    </w:tbl>
    <w:p/>
    <w:tbl>
      <w:tblPr>
        <w:tblW w:type="auto" w:w="0"/>
        <w:tblLook w:firstColumn="1" w:firstRow="1" w:lastColumn="0" w:lastRow="0" w:noHBand="0" w:noVBand="1" w:val="04A0"/>
      </w:tblPr>
      <w:tblGrid>
        <w:gridCol w:w="8640"/>
      </w:tblGrid>
      <w:tr>
        <w:tc>
          <w:tcPr>
            <w:tcW w:type="dxa" w:w="8640"/>
            <w:shd w:fill="EAF1FB"/>
          </w:tcPr>
          <w:p>
            <w:r/>
            <w:r>
              <w:rPr>
                <w:b/>
                <w:color w:val="2A78D6"/>
                <w:sz w:val="17"/>
              </w:rPr>
              <w:t>RESSALVA IMPORTANTE — O GANHO DE FREQUÊNCIA NÃO FOI EXPLORADO</w:t>
            </w:r>
          </w:p>
          <w:p>
            <w:r>
              <w:rPr>
                <w:sz w:val="19"/>
              </w:rPr>
              <w:t>O Landsat revisita a mesma cena a cada ~8-16 dias (combinando os satélites 5/7/8/9), muito mais frequente que</w:t>
              <w:br/>
              <w:t xml:space="preserve">os ~56 dias medianos da CETESB. Mas o conector calcula uma </w:t>
            </w:r>
            <w:r>
              <w:rPr>
                <w:b/>
                <w:sz w:val="19"/>
              </w:rPr>
              <w:t>mediana ANUAL</w:t>
            </w:r>
            <w:r>
              <w:rPr>
                <w:sz w:val="19"/>
              </w:rPr>
              <w:t xml:space="preserve"> por ponto (mesma</w:t>
              <w:br/>
              <w:t>granularidade do resto do pipeline de ML, Seção 22) — ou seja, o pipeline hoje NÃO aproveita essa maior</w:t>
              <w:br/>
              <w:t>frequência temporal, mesmo tendo acesso a ela. Explorar a série intra-anual completa (não só a mediana do ano)</w:t>
              <w:br/>
              <w:t>é trabalho futuro, não feito aqui.</w:t>
            </w:r>
          </w:p>
        </w:tc>
      </w:tr>
    </w:tbl>
    <w:p/>
    <w:p>
      <w:pPr>
        <w:jc w:val="center"/>
      </w:pPr>
      <w:r>
        <w:drawing>
          <wp:inline xmlns:a="http://schemas.openxmlformats.org/drawingml/2006/main" xmlns:pic="http://schemas.openxmlformats.org/drawingml/2006/picture">
            <wp:extent cx="5580000" cy="1931538"/>
            <wp:docPr id="44" name="Picture 44"/>
            <wp:cNvGraphicFramePr>
              <a:graphicFrameLocks noChangeAspect="1"/>
            </wp:cNvGraphicFramePr>
            <a:graphic>
              <a:graphicData uri="http://schemas.openxmlformats.org/drawingml/2006/picture">
                <pic:pic>
                  <pic:nvPicPr>
                    <pic:cNvPr id="0" name="landsat_ndvi_temp.png"/>
                    <pic:cNvPicPr/>
                  </pic:nvPicPr>
                  <pic:blipFill>
                    <a:blip r:embed="rId52"/>
                    <a:stretch>
                      <a:fillRect/>
                    </a:stretch>
                  </pic:blipFill>
                  <pic:spPr>
                    <a:xfrm>
                      <a:off x="0" y="0"/>
                      <a:ext cx="5580000" cy="1931538"/>
                    </a:xfrm>
                    <a:prstGeom prst="rect"/>
                  </pic:spPr>
                </pic:pic>
              </a:graphicData>
            </a:graphic>
          </wp:inline>
        </w:drawing>
      </w:r>
    </w:p>
    <w:p>
      <w:pPr>
        <w:jc w:val="center"/>
      </w:pPr>
      <w:r>
        <w:rPr>
          <w:i/>
          <w:color w:val="6B6F68"/>
          <w:sz w:val="18"/>
        </w:rPr>
        <w:t>NDVI (mata ciliar) e temperatura de superfície reais, por trecho, 1984-2026.</w:t>
      </w:r>
    </w:p>
    <w:tbl>
      <w:tblPr>
        <w:tblW w:type="auto" w:w="0"/>
        <w:tblLook w:firstColumn="1" w:firstRow="1" w:lastColumn="0" w:lastRow="0" w:noHBand="0" w:noVBand="1" w:val="04A0"/>
      </w:tblPr>
      <w:tblGrid>
        <w:gridCol w:w="8640"/>
      </w:tblGrid>
      <w:tr>
        <w:tc>
          <w:tcPr>
            <w:tcW w:type="dxa" w:w="8640"/>
            <w:shd w:fill="FBEAEA"/>
          </w:tcPr>
          <w:p>
            <w:r/>
            <w:r>
              <w:rPr>
                <w:b/>
                <w:color w:val="D03B3B"/>
                <w:sz w:val="17"/>
              </w:rPr>
              <w:t>ACHADO</w:t>
            </w:r>
          </w:p>
          <w:p>
            <w:r>
              <w:rPr>
                <w:sz w:val="19"/>
              </w:rPr>
              <w:t xml:space="preserve">NDVI médio real: </w:t>
            </w:r>
            <w:r>
              <w:rPr>
                <w:b/>
                <w:sz w:val="19"/>
              </w:rPr>
              <w:t>Médio Tietê 0,63</w:t>
            </w:r>
            <w:r>
              <w:rPr>
                <w:sz w:val="19"/>
              </w:rPr>
              <w:t xml:space="preserve"> (mata ciliar mais preservada, min 0,40/max 0,76) — muito</w:t>
              <w:br/>
              <w:t xml:space="preserve">acima de </w:t>
            </w:r>
            <w:r>
              <w:rPr>
                <w:b/>
                <w:sz w:val="19"/>
              </w:rPr>
              <w:t>Alto Tietê 0,32</w:t>
            </w:r>
            <w:r>
              <w:rPr>
                <w:sz w:val="19"/>
              </w:rPr>
              <w:t xml:space="preserve"> (min 0,12/max 0,67, urbanização concentrada) e</w:t>
              <w:br/>
            </w:r>
            <w:r>
              <w:rPr>
                <w:b/>
                <w:sz w:val="19"/>
              </w:rPr>
              <w:t>Baixo Tietê 0,24</w:t>
            </w:r>
            <w:r>
              <w:rPr>
                <w:sz w:val="19"/>
              </w:rPr>
              <w:t xml:space="preserve"> (min </w:t>
            </w:r>
            <w:r>
              <w:rPr>
                <w:i/>
                <w:sz w:val="19"/>
              </w:rPr>
              <w:t>-0,26</w:t>
            </w:r>
            <w:r>
              <w:rPr>
                <w:sz w:val="19"/>
              </w:rPr>
              <w:t>/max 0,73). O valor mínimo negativo no Baixo Tietê é um</w:t>
              <w:br/>
              <w:t>outlier pontual (provável contaminação residual de nuvem/água aberta num ano específico da mediana, não</w:t>
              <w:br/>
              <w:t>descartado do conjunto) — sinalizado aqui em vez de escondido.</w:t>
            </w:r>
          </w:p>
        </w:tc>
      </w:tr>
    </w:tbl>
    <w:p/>
    <w:tbl>
      <w:tblPr>
        <w:tblW w:type="auto" w:w="0"/>
        <w:tblLook w:firstColumn="1" w:firstRow="1" w:lastColumn="0" w:lastRow="0" w:noHBand="0" w:noVBand="1" w:val="04A0"/>
      </w:tblPr>
      <w:tblGrid>
        <w:gridCol w:w="8640"/>
      </w:tblGrid>
      <w:tr>
        <w:tc>
          <w:tcPr>
            <w:tcW w:type="dxa" w:w="8640"/>
            <w:shd w:fill="EAF1FB"/>
          </w:tcPr>
          <w:p>
            <w:r/>
            <w:r>
              <w:rPr>
                <w:b/>
                <w:color w:val="2A78D6"/>
                <w:sz w:val="17"/>
              </w:rPr>
              <w:t>LIMITAÇÃO QUE CONTINUA REAL</w:t>
            </w:r>
          </w:p>
          <w:p>
            <w:r>
              <w:rPr>
                <w:sz w:val="19"/>
              </w:rPr>
              <w:t xml:space="preserve">Os índices espectrais (NDVI, proxy de turbidez via NDTI, temperatura) </w:t>
            </w:r>
            <w:r>
              <w:rPr>
                <w:b/>
                <w:sz w:val="19"/>
              </w:rPr>
              <w:t>nunca foram calibrados contra</w:t>
              <w:br/>
              <w:t>medição in situ do Tietê</w:t>
            </w:r>
            <w:r>
              <w:rPr>
                <w:sz w:val="19"/>
              </w:rPr>
              <w:t xml:space="preserve"> — plausíveis à luz da literatura geral (NDVI ~0,6-0,85 é o esperado para mata</w:t>
              <w:br/>
              <w:t>ciliar preservada; o Médio Tietê bate nisso), mas o proxy de turbidez (NDTI) NÃO é a Turbidez em NTU da CETESB, e</w:t>
              <w:br/>
              <w:t>não há par (imagem, medição in situ no mesmo dia/local) disponível neste projeto para uma regressão de</w:t>
              <w:br/>
              <w:t>calibração. Isso significa que a pergunta original desta seção — unir sensoriamento remoto real aos proxies</w:t>
              <w:br/>
              <w:t>ópticos da Seção 20 (Clorofila-a, COT/CDOM, Turbidez NTU) — continua sem resposta completa: agora HÁ imagem</w:t>
              <w:br/>
              <w:t>real, mas ainda falta o par de calibração de campo para conectar as duas fontes rigorosamente.</w:t>
            </w:r>
          </w:p>
        </w:tc>
      </w:tr>
    </w:tbl>
    <w:p/>
    <w:p>
      <w:r>
        <w:br w:type="page"/>
      </w:r>
    </w:p>
    <w:p>
      <w:pPr>
        <w:pStyle w:val="Heading1"/>
      </w:pPr>
      <w:r>
        <w:t>27 — Clima real: reanálise ERA5 e projeções CMIP6</w:t>
      </w:r>
    </w:p>
    <w:p>
      <w:r>
        <w:t>Além de uso do solo (Seção 25) e sensoriamento remoto (Seção 26), a terceira fonte de dado real</w:t>
        <w:br/>
        <w:t>integrada nesta pesquisa é climática: reanálise histórica ERA5 e projeções futuras CMIP6, via Copernicus Climate</w:t>
        <w:br/>
        <w:t>Data Store (</w:t>
      </w:r>
      <w:r>
        <w:rPr>
          <w:rFonts w:ascii="Consolas" w:hAnsi="Consolas"/>
          <w:color w:val="2A78D6"/>
          <w:sz w:val="19"/>
        </w:rPr>
        <w:t>ingestion.connectors.era5_cmip6</w:t>
      </w:r>
      <w:r>
        <w:t>).</w:t>
      </w:r>
    </w:p>
    <w:p>
      <w:pPr>
        <w:jc w:val="center"/>
      </w:pPr>
      <w:r>
        <w:drawing>
          <wp:inline xmlns:a="http://schemas.openxmlformats.org/drawingml/2006/main" xmlns:pic="http://schemas.openxmlformats.org/drawingml/2006/picture">
            <wp:extent cx="5580000" cy="2092500"/>
            <wp:docPr id="45" name="Picture 45"/>
            <wp:cNvGraphicFramePr>
              <a:graphicFrameLocks noChangeAspect="1"/>
            </wp:cNvGraphicFramePr>
            <a:graphic>
              <a:graphicData uri="http://schemas.openxmlformats.org/drawingml/2006/picture">
                <pic:pic>
                  <pic:nvPicPr>
                    <pic:cNvPr id="0" name="era5_reanalise_real.png"/>
                    <pic:cNvPicPr/>
                  </pic:nvPicPr>
                  <pic:blipFill>
                    <a:blip r:embed="rId53"/>
                    <a:stretch>
                      <a:fillRect/>
                    </a:stretch>
                  </pic:blipFill>
                  <pic:spPr>
                    <a:xfrm>
                      <a:off x="0" y="0"/>
                      <a:ext cx="5580000" cy="2092500"/>
                    </a:xfrm>
                    <a:prstGeom prst="rect"/>
                  </pic:spPr>
                </pic:pic>
              </a:graphicData>
            </a:graphic>
          </wp:inline>
        </w:drawing>
      </w:r>
    </w:p>
    <w:p>
      <w:pPr>
        <w:jc w:val="center"/>
      </w:pPr>
      <w:r>
        <w:rPr>
          <w:i/>
          <w:color w:val="6B6F68"/>
          <w:sz w:val="18"/>
        </w:rPr>
        <w:t>ERA5 real (temperatura média a 2m e precipitação mensal total) para o bbox da bacia do Tietê, 2020-2026.</w:t>
      </w:r>
    </w:p>
    <w:tbl>
      <w:tblPr>
        <w:tblW w:type="auto" w:w="0"/>
        <w:tblLook w:firstColumn="1" w:firstRow="1" w:lastColumn="0" w:lastRow="0" w:noHBand="0" w:noVBand="1" w:val="04A0"/>
      </w:tblPr>
      <w:tblGrid>
        <w:gridCol w:w="8640"/>
      </w:tblGrid>
      <w:tr>
        <w:tc>
          <w:tcPr>
            <w:tcW w:type="dxa" w:w="8640"/>
            <w:shd w:fill="FBEAEA"/>
          </w:tcPr>
          <w:p>
            <w:r/>
            <w:r>
              <w:rPr>
                <w:b/>
                <w:color w:val="D03B3B"/>
                <w:sz w:val="17"/>
              </w:rPr>
              <w:t>ACHADO</w:t>
            </w:r>
          </w:p>
          <w:p>
            <w:r>
              <w:rPr>
                <w:sz w:val="19"/>
              </w:rPr>
              <w:t>A reanálise real confirma o padrão sazonal esperado para a bacia (verão quente-chuvoso, inverno</w:t>
              <w:br/>
              <w:t>frio-seco) — meses de janeiro a março concentram os maiores volumes de chuva (até ~280 mm/mês), com mínimos em</w:t>
              <w:br/>
              <w:t>junho-agosto (por vezes abaixo de 5 mm/mês). Não é novidade climatológica, mas é a primeira vez que o pipeline</w:t>
              <w:br/>
              <w:t>tem uma série climática REAL e independente da própria rede pluviométrica DAEE já usada como preditora de ML —</w:t>
              <w:br/>
              <w:t>uma validação cruzada útil, não uma fonte de dado adicional para o modelo por enquanto.</w:t>
            </w:r>
          </w:p>
        </w:tc>
      </w:tr>
    </w:tbl>
    <w:p/>
    <w:tbl>
      <w:tblPr>
        <w:tblW w:type="auto" w:w="0"/>
        <w:tblLook w:firstColumn="1" w:firstRow="1" w:lastColumn="0" w:lastRow="0" w:noHBand="0" w:noVBand="1" w:val="04A0"/>
      </w:tblPr>
      <w:tblGrid>
        <w:gridCol w:w="8640"/>
      </w:tblGrid>
      <w:tr>
        <w:tc>
          <w:tcPr>
            <w:tcW w:type="dxa" w:w="8640"/>
            <w:shd w:fill="FBEAEA"/>
          </w:tcPr>
          <w:p>
            <w:r/>
            <w:r>
              <w:rPr>
                <w:b/>
                <w:color w:val="D03B3B"/>
                <w:sz w:val="17"/>
              </w:rPr>
              <w:t>ACHADO (REVISÃO DE PREMISSA DO ABM)</w:t>
            </w:r>
          </w:p>
          <w:p>
            <w:r>
              <w:rPr>
                <w:sz w:val="19"/>
              </w:rPr>
              <w:t>O cenário "Mudança Climática Extrema" do modelo baseado em agentes (ABM, tela "Cenários Futuros" do</w:t>
              <w:br/>
              <w:t xml:space="preserve">dashboard) usava um proxy fixo de </w:t>
            </w:r>
            <w:r>
              <w:rPr>
                <w:b/>
                <w:sz w:val="19"/>
              </w:rPr>
              <w:t>-25% de chuva</w:t>
            </w:r>
            <w:r>
              <w:rPr>
                <w:sz w:val="19"/>
              </w:rPr>
              <w:t xml:space="preserve"> como suposição de trabalho. A calibração real</w:t>
              <w:br/>
              <w:t xml:space="preserve">via CMIP6 (baseline </w:t>
            </w:r>
            <w:r>
              <w:rPr>
                <w:rFonts w:ascii="Consolas" w:hAnsi="Consolas"/>
                <w:color w:val="2A78D6"/>
                <w:sz w:val="19"/>
              </w:rPr>
              <w:t>historical</w:t>
            </w:r>
            <w:r>
              <w:rPr>
                <w:sz w:val="19"/>
              </w:rPr>
              <w:t xml:space="preserve"> 1995-2014 vs. projeção </w:t>
            </w:r>
            <w:r>
              <w:rPr>
                <w:rFonts w:ascii="Consolas" w:hAnsi="Consolas"/>
                <w:color w:val="2A78D6"/>
                <w:sz w:val="19"/>
              </w:rPr>
              <w:t>SSP5-8.5</w:t>
            </w:r>
            <w:r>
              <w:rPr>
                <w:sz w:val="19"/>
              </w:rPr>
              <w:t xml:space="preserve"> 2040-2060, o cenário de</w:t>
              <w:br/>
              <w:t xml:space="preserve">emissões mais extremo do IPCC AR6, modelo </w:t>
            </w:r>
            <w:r>
              <w:rPr>
                <w:rFonts w:ascii="Consolas" w:hAnsi="Consolas"/>
                <w:color w:val="2A78D6"/>
                <w:sz w:val="19"/>
              </w:rPr>
              <w:t>mpi_esm1_2_lr</w:t>
            </w:r>
            <w:r>
              <w:rPr>
                <w:sz w:val="19"/>
              </w:rPr>
              <w:t>) resultou em um fator de</w:t>
              <w:br/>
            </w:r>
            <w:r>
              <w:rPr>
                <w:b/>
                <w:sz w:val="19"/>
              </w:rPr>
              <w:t>0,982 — ou seja, apenas ~1,8% mais seco</w:t>
            </w:r>
            <w:r>
              <w:rPr>
                <w:sz w:val="19"/>
              </w:rPr>
              <w:t xml:space="preserve"> que o baseline, MUITO menos severo que a suposição</w:t>
              <w:br/>
              <w:t>original de -25%. Este número já substitui o proxy fixo em produção (</w:t>
            </w:r>
            <w:r>
              <w:rPr>
                <w:rFonts w:ascii="Consolas" w:hAnsi="Consolas"/>
                <w:color w:val="2A78D6"/>
                <w:sz w:val="19"/>
              </w:rPr>
              <w:t>models.abm.clima_real</w:t>
            </w:r>
            <w:r>
              <w:rPr>
                <w:sz w:val="19"/>
              </w:rPr>
              <w:t>) e é</w:t>
              <w:br/>
              <w:t>baseado em UM único modelo CMIP6 — não é um ensemble multi-modelo (a prática recomendada para reduzir incerteza</w:t>
              <w:br/>
              <w:t>estrutural), então deve ser lido como um ponto de referência real, não como consenso climático definitivo.</w:t>
            </w:r>
          </w:p>
        </w:tc>
      </w:tr>
    </w:tbl>
    <w:p/>
    <w:tbl>
      <w:tblPr>
        <w:tblW w:type="auto" w:w="0"/>
        <w:tblLook w:firstColumn="1" w:firstRow="1" w:lastColumn="0" w:lastRow="0" w:noHBand="0" w:noVBand="1" w:val="04A0"/>
      </w:tblPr>
      <w:tblGrid>
        <w:gridCol w:w="8640"/>
      </w:tblGrid>
      <w:tr>
        <w:tc>
          <w:tcPr>
            <w:tcW w:type="dxa" w:w="8640"/>
            <w:shd w:fill="EAF1FB"/>
          </w:tcPr>
          <w:p>
            <w:r/>
            <w:r>
              <w:rPr>
                <w:b/>
                <w:color w:val="2A78D6"/>
                <w:sz w:val="17"/>
              </w:rPr>
              <w:t>NOTA DE ENGENHARIA</w:t>
            </w:r>
          </w:p>
          <w:p>
            <w:r>
              <w:rPr>
                <w:sz w:val="19"/>
              </w:rPr>
              <w:t>A primeira execução real deste conector contra a CDS revelou três divergências entre a documentação pública</w:t>
              <w:br/>
              <w:t>da API e o comportamento real do serviço (formato de resposta em arquivos separados por variável, id técnico de</w:t>
              <w:br/>
              <w:t>cenário com formatação diferente da esperada, e um parâmetro que quebrava o request para variáveis de</w:t>
              <w:br/>
              <w:t>superfície) — corrigidas e testadas antes desta calibração ser aceita como válida. Ver</w:t>
              <w:br/>
            </w:r>
            <w:r>
              <w:rPr>
                <w:rFonts w:ascii="Consolas" w:hAnsi="Consolas"/>
                <w:color w:val="2A78D6"/>
                <w:sz w:val="19"/>
              </w:rPr>
              <w:t>docs/Auditoria_Engenharia_Dados_WaterWeave_Tiete.docx</w:t>
            </w:r>
            <w:r>
              <w:rPr>
                <w:sz w:val="19"/>
              </w:rPr>
              <w:t xml:space="preserve"> para o detalhamento completo.</w:t>
            </w:r>
          </w:p>
        </w:tc>
      </w:tr>
    </w:tbl>
    <w:p/>
    <w:p>
      <w:r>
        <w:br w:type="page"/>
      </w:r>
    </w:p>
    <w:p>
      <w:pPr>
        <w:pStyle w:val="Heading1"/>
      </w:pPr>
      <w:r>
        <w:t>28 — Síntese: respostas às perguntas do documento de referência</w:t>
      </w:r>
    </w:p>
    <w:p>
      <w:r>
        <w:t>Aplicamos o mesmo padrão de honestidade epistêmica da Seção 17: o que a base de dados hoje</w:t>
        <w:br/>
        <w:t>ingerida pelo pipeline sustenta como evidência, e o que continua exigindo dado que o projeto não possui. Desde a</w:t>
        <w:br/>
        <w:t>última revisão, uso do solo (Seção 25), sensoriamento remoto (Seção 26) e clima (Seção 27) passaram de lacunas</w:t>
        <w:br/>
        <w:t>declaradas para dado real integrado — o que muda o "não" de várias das perguntas abaixo, mas não fecha todas:</w:t>
        <w:br/>
        <w:t>calibração de campo dos índices espectrais e ensemble climático multi-modelo continuam pendentes.</w:t>
      </w:r>
    </w:p>
    <w:p>
      <w:pPr>
        <w:pStyle w:val="Heading3"/>
      </w:pPr>
      <w:r>
        <w:t>Pergunta SR-1 — Atribuição de causa e efeito via Machine Learning</w:t>
      </w:r>
    </w:p>
    <w:p>
      <w:r>
        <w:rPr>
          <w:i/>
        </w:rPr>
        <w:t>O modelo consegue distinguir se uma queda de refletância é causada por turbidez/erosão, crescimento de algas/eutrofização ou descarte industrial pontual?</w:t>
      </w:r>
    </w:p>
    <w:tbl>
      <w:tblPr>
        <w:tblW w:type="auto" w:w="0"/>
        <w:tblLook w:firstColumn="1" w:firstRow="1" w:lastColumn="0" w:lastRow="0" w:noHBand="0" w:noVBand="1" w:val="04A0"/>
      </w:tblPr>
      <w:tblGrid>
        <w:gridCol w:w="4320"/>
        <w:gridCol w:w="4320"/>
      </w:tblGrid>
      <w:tr>
        <w:tc>
          <w:tcPr>
            <w:tcW w:type="dxa" w:w="4320"/>
            <w:shd w:fill="E8F0FB"/>
          </w:tcPr>
          <w:p>
            <w:r/>
            <w:r>
              <w:rPr>
                <w:b/>
                <w:color w:val="2A78D6"/>
                <w:sz w:val="16"/>
              </w:rPr>
              <w:t>O que os dados deste projeto permitem dizer</w:t>
            </w:r>
          </w:p>
          <w:p>
            <w:r>
              <w:rPr>
                <w:sz w:val="18"/>
              </w:rPr>
              <w:t xml:space="preserve">Sim, parcialmente — a decomposição SHAP da Turbidez real (Seção 24, R²=0,55) atribui </w:t>
            </w:r>
            <w:r>
              <w:rPr>
                <w:b/>
                <w:sz w:val="18"/>
              </w:rPr>
              <w:t>39,6% à poluição industrial pontual (metais), 35,3% à eutrofização e 25,1% à erosão/hidrologia</w:t>
            </w:r>
            <w:r>
              <w:rPr>
                <w:sz w:val="18"/>
              </w:rPr>
              <w:t xml:space="preserve">. E os proxies ópticos que melhor </w:t>
            </w:r>
            <w:r>
              <w:rPr>
                <w:i/>
                <w:sz w:val="18"/>
              </w:rPr>
              <w:t>preveem</w:t>
            </w:r>
            <w:r>
              <w:rPr>
                <w:sz w:val="18"/>
              </w:rPr>
              <w:t xml:space="preserve"> OD/DBO/nutrientes não são os esperados a priori — Carbono Orgânico (COT/COD) supera Clorofila-a por larga margem (Seção 21), uma correção real ao modelo ingênuo de "água poluída = água com muita alga".</w:t>
            </w:r>
          </w:p>
        </w:tc>
        <w:tc>
          <w:tcPr>
            <w:tcW w:type="dxa" w:w="4320"/>
            <w:shd w:fill="FBEAEA"/>
          </w:tcPr>
          <w:p>
            <w:r/>
            <w:r>
              <w:rPr>
                <w:b/>
                <w:color w:val="D03B3B"/>
                <w:sz w:val="16"/>
              </w:rPr>
              <w:t>O que estes dados NÃO conseguem responder</w:t>
            </w:r>
          </w:p>
          <w:p>
            <w:r>
              <w:rPr>
                <w:sz w:val="18"/>
              </w:rPr>
              <w:t>Isto é atribuição estatística (SHAP sobre dado tabular in situ), não uma imagem de satélite decomposta pixel a pixel por banda espectral. HÁ, agora, imagem Landsat real no pipeline (Seção 26, 903 observações reais) — mas os índices calculados dela (NDVI, proxy de turbidez) ainda não têm par de calibração com medição in situ simultânea, então não podem ainda substituir/confirmar esta atribuição SHAP baseada em parâmetro físico-químico de laboratório. A distinção fina entre "esta reflectância específica é erosão vs. alga" continua exigindo um modelo de transferência radiativa calibrado localmente.</w:t>
            </w:r>
          </w:p>
        </w:tc>
      </w:tr>
    </w:tbl>
    <w:p/>
    <w:p>
      <w:pPr>
        <w:pStyle w:val="Heading3"/>
      </w:pPr>
      <w:r>
        <w:t>Pergunta SR-2 — Generalização do modelo (invariância espaço-temporal)</w:t>
      </w:r>
    </w:p>
    <w:p>
      <w:r>
        <w:rPr>
          <w:i/>
        </w:rPr>
        <w:t>Um algoritmo treinado para o trecho urbano de São Paulo funciona no médio/baixo Tietê ou em estações diferentes (seca severa vs. cheias extremas)?</w:t>
      </w:r>
    </w:p>
    <w:tbl>
      <w:tblPr>
        <w:tblW w:type="auto" w:w="0"/>
        <w:tblLook w:firstColumn="1" w:firstRow="1" w:lastColumn="0" w:lastRow="0" w:noHBand="0" w:noVBand="1" w:val="04A0"/>
      </w:tblPr>
      <w:tblGrid>
        <w:gridCol w:w="4320"/>
        <w:gridCol w:w="4320"/>
      </w:tblGrid>
      <w:tr>
        <w:tc>
          <w:tcPr>
            <w:tcW w:type="dxa" w:w="4320"/>
            <w:shd w:fill="E8F0FB"/>
          </w:tcPr>
          <w:p>
            <w:r/>
            <w:r>
              <w:rPr>
                <w:b/>
                <w:color w:val="2A78D6"/>
                <w:sz w:val="16"/>
              </w:rPr>
              <w:t>O que os dados deste projeto permitem dizer</w:t>
            </w:r>
          </w:p>
          <w:p>
            <w:r>
              <w:rPr>
                <w:sz w:val="18"/>
              </w:rPr>
              <w:t xml:space="preserve">Testado diretamente com dado real (Seção 23): </w:t>
            </w:r>
            <w:r>
              <w:rPr>
                <w:b/>
                <w:sz w:val="18"/>
              </w:rPr>
              <w:t>não generaliza espacialmente</w:t>
            </w:r>
            <w:r>
              <w:rPr>
                <w:sz w:val="18"/>
              </w:rPr>
              <w:t xml:space="preserve"> — toda transferência entre trechos deu R² negativo (pior que a média), mesmo o modelo tendo R² real dentro do próprio trecho (0,05-0,71). A generalização </w:t>
            </w:r>
            <w:r>
              <w:rPr>
                <w:b/>
                <w:sz w:val="18"/>
              </w:rPr>
              <w:t>sazonal é parcial</w:t>
            </w:r>
            <w:r>
              <w:rPr>
                <w:sz w:val="18"/>
              </w:rPr>
              <w:t xml:space="preserve"> — funciona bem entre seca e transição, mas falha ao transferir de seca para chuvosa (possível efeito de "first flush"/diluição não-linear). Os modelos de produção (Seção 22, um RandomForest por trecho, com uso do solo real MapBiomas como preditora — Seção 25) chegaram à MESMA conclusão de forma independente: um único modelo com trecho_id categórico não é a arquitetura certa, por isso o pipeline usa modelos separados por trecho.</w:t>
            </w:r>
          </w:p>
        </w:tc>
        <w:tc>
          <w:tcPr>
            <w:tcW w:type="dxa" w:w="4320"/>
            <w:shd w:fill="FBEAEA"/>
          </w:tcPr>
          <w:p>
            <w:r/>
            <w:r>
              <w:rPr>
                <w:b/>
                <w:color w:val="D03B3B"/>
                <w:sz w:val="16"/>
              </w:rPr>
              <w:t>O que estes dados NÃO conseguem responder</w:t>
            </w:r>
          </w:p>
          <w:p>
            <w:r>
              <w:rPr>
                <w:sz w:val="18"/>
              </w:rPr>
              <w:t>O teste foi feito só para OD como alvo de referência e só com o proxy óptico de maior cobertura (Carbono Orgânico Total) — não confirma se o mesmo padrão de falha espacial se repeteria com um sensor óptico real (que enxerga o rio inteiro simultaneamente, ao contrário de 32 pontos discretos) nem cobre eventos de cheia extrema real, que a série 1978-2024 pode não capturar em densidade suficiente.</w:t>
            </w:r>
          </w:p>
        </w:tc>
      </w:tr>
    </w:tbl>
    <w:p/>
    <w:p>
      <w:pPr>
        <w:pStyle w:val="Heading3"/>
      </w:pPr>
      <w:r>
        <w:t>Pergunta SR-3 — Resolução espacial × temporal (satélite vs. rede in situ)</w:t>
      </w:r>
    </w:p>
    <w:p>
      <w:r>
        <w:rPr>
          <w:i/>
        </w:rPr>
        <w:t>Como conciliar satélites de alta frequência de revisita com resolução espacial modesta e satélites de alta resolução com revisita menor, num rio estreito e canalizado em trechos urbanos?</w:t>
      </w:r>
    </w:p>
    <w:tbl>
      <w:tblPr>
        <w:tblW w:type="auto" w:w="0"/>
        <w:tblLook w:firstColumn="1" w:firstRow="1" w:lastColumn="0" w:lastRow="0" w:noHBand="0" w:noVBand="1" w:val="04A0"/>
      </w:tblPr>
      <w:tblGrid>
        <w:gridCol w:w="4320"/>
        <w:gridCol w:w="4320"/>
      </w:tblGrid>
      <w:tr>
        <w:tc>
          <w:tcPr>
            <w:tcW w:type="dxa" w:w="4320"/>
            <w:shd w:fill="E8F0FB"/>
          </w:tcPr>
          <w:p>
            <w:r/>
            <w:r>
              <w:rPr>
                <w:b/>
                <w:color w:val="2A78D6"/>
                <w:sz w:val="16"/>
              </w:rPr>
              <w:t>O que os dados deste projeto permitem dizer</w:t>
            </w:r>
          </w:p>
          <w:p>
            <w:r>
              <w:rPr>
                <w:sz w:val="18"/>
              </w:rPr>
              <w:t xml:space="preserve">Quantificamos o outro lado da equação com dado real: a rede CETESB real tem apenas </w:t>
            </w:r>
            <w:r>
              <w:rPr>
                <w:b/>
                <w:sz w:val="18"/>
              </w:rPr>
              <w:t>32 pontos e ~56 dias entre coletas</w:t>
            </w:r>
            <w:r>
              <w:rPr>
                <w:sz w:val="18"/>
              </w:rPr>
              <w:t xml:space="preserve"> no eixo inteiro, contra </w:t>
            </w:r>
            <w:r>
              <w:rPr>
                <w:b/>
                <w:sz w:val="18"/>
              </w:rPr>
              <w:t>903 observações Landsat reais</w:t>
            </w:r>
            <w:r>
              <w:rPr>
                <w:sz w:val="18"/>
              </w:rPr>
              <w:t xml:space="preserve"> (Seção 26, 7 pontos, revisita de ~8-16 dias) — o satélite já supera a rede in situ em frequência temporal por uma ordem de grandeza, mesmo sem essa frequência ainda ser explorada em produção (o pipeline usa mediana anual, não a série intra-anual completa).</w:t>
            </w:r>
          </w:p>
        </w:tc>
        <w:tc>
          <w:tcPr>
            <w:tcW w:type="dxa" w:w="4320"/>
            <w:shd w:fill="FBEAEA"/>
          </w:tcPr>
          <w:p>
            <w:r/>
            <w:r>
              <w:rPr>
                <w:b/>
                <w:color w:val="D03B3B"/>
                <w:sz w:val="16"/>
              </w:rPr>
              <w:t>O que estes dados NÃO conseguem responder</w:t>
            </w:r>
          </w:p>
          <w:p>
            <w:r>
              <w:rPr>
                <w:sz w:val="18"/>
              </w:rPr>
              <w:t>Mesmo com imagem Landsat real disponível agora, ela cobre só 7 pontos com buffer de 300 m — não o canal inteiro do rio pixel a pixel — e não há par (imagem, medição in situ no mesmo dia/local) para validar se a largura do canal urbano do Tietê efetivamente cabe nos pixels de 30 m do Landsat, nem para calibrar os índices espectrais contra Turbidez NTU/Clorofila-a reais (Seção 26). Essa validação cruzada específica continua sendo trabalho futuro.</w:t>
            </w:r>
          </w:p>
        </w:tc>
      </w:tr>
    </w:tbl>
    <w:p/>
    <w:p>
      <w:pPr>
        <w:pStyle w:val="Heading3"/>
      </w:pPr>
      <w:r>
        <w:t>Pergunta SR-4 — Clima real como driver de cenários (ERA5/CMIP6)</w:t>
      </w:r>
    </w:p>
    <w:p>
      <w:r>
        <w:rPr>
          <w:i/>
        </w:rPr>
        <w:t>Os cenários climáticos do ABM ("Cenários Futuros") são baseados em dado climático real ou em suposições fixas?</w:t>
      </w:r>
    </w:p>
    <w:tbl>
      <w:tblPr>
        <w:tblW w:type="auto" w:w="0"/>
        <w:tblLook w:firstColumn="1" w:firstRow="1" w:lastColumn="0" w:lastRow="0" w:noHBand="0" w:noVBand="1" w:val="04A0"/>
      </w:tblPr>
      <w:tblGrid>
        <w:gridCol w:w="4320"/>
        <w:gridCol w:w="4320"/>
      </w:tblGrid>
      <w:tr>
        <w:tc>
          <w:tcPr>
            <w:tcW w:type="dxa" w:w="4320"/>
            <w:shd w:fill="E8F0FB"/>
          </w:tcPr>
          <w:p>
            <w:r/>
            <w:r>
              <w:rPr>
                <w:b/>
                <w:color w:val="2A78D6"/>
                <w:sz w:val="16"/>
              </w:rPr>
              <w:t>O que os dados deste projeto permitem dizer</w:t>
            </w:r>
          </w:p>
          <w:p>
            <w:r>
              <w:rPr>
                <w:sz w:val="18"/>
              </w:rPr>
              <w:t xml:space="preserve">Agora em dado real (Seção 27): a calibração via CMIP6 (SSP5-8.5, cenário mais extremo do IPCC AR6, 2040-2060 vs. baseline 1995-2014) resultou em um fator de </w:t>
            </w:r>
            <w:r>
              <w:rPr>
                <w:b/>
                <w:sz w:val="18"/>
              </w:rPr>
              <w:t>0,982</w:t>
            </w:r>
            <w:r>
              <w:rPr>
                <w:sz w:val="18"/>
              </w:rPr>
              <w:t xml:space="preserve"> — o cenário "Mudança Climática Extrema" fica ~1,8% mais seco que o baseline, MUITO menos severo que o proxy fixo de -25% usado antes desta calibração. O número já substitui o proxy fixo em produção.</w:t>
            </w:r>
          </w:p>
        </w:tc>
        <w:tc>
          <w:tcPr>
            <w:tcW w:type="dxa" w:w="4320"/>
            <w:shd w:fill="FBEAEA"/>
          </w:tcPr>
          <w:p>
            <w:r/>
            <w:r>
              <w:rPr>
                <w:b/>
                <w:color w:val="D03B3B"/>
                <w:sz w:val="16"/>
              </w:rPr>
              <w:t>O que estes dados NÃO conseguem responder</w:t>
            </w:r>
          </w:p>
          <w:p>
            <w:r>
              <w:rPr>
                <w:sz w:val="18"/>
              </w:rPr>
              <w:t>Baseado em UM único modelo CMIP6 (mpi_esm1_2_lr), não um ensemble multi-modelo — a prática recomendada para reduzir incerteza estrutural entre modelos climáticos. A reanálise ERA5 (histórico observado) também ainda não foi religada para calibrar a variabilidade climática do ABM, que continua usando a climatologia só-DAEE — ver ATUALIZAÇÃO na docstring de `ingestion.connectors.era5_cmip6` para os próximos passos.</w:t>
            </w:r>
          </w:p>
        </w:tc>
      </w:tr>
    </w:tbl>
    <w:p/>
    <w:tbl>
      <w:tblPr>
        <w:tblW w:type="auto" w:w="0"/>
        <w:tblLook w:firstColumn="1" w:firstRow="1" w:lastColumn="0" w:lastRow="0" w:noHBand="0" w:noVBand="1" w:val="04A0"/>
      </w:tblPr>
      <w:tblGrid>
        <w:gridCol w:w="8640"/>
      </w:tblGrid>
      <w:tr>
        <w:tc>
          <w:tcPr>
            <w:tcW w:type="dxa" w:w="8640"/>
            <w:shd w:fill="EAF1FB"/>
          </w:tcPr>
          <w:p>
            <w:r/>
            <w:r>
              <w:rPr>
                <w:b/>
                <w:color w:val="2A78D6"/>
                <w:sz w:val="17"/>
              </w:rPr>
              <w:t>NOTA METODOLÓGICA SOBRE DEEP LEARNING</w:t>
            </w:r>
          </w:p>
          <w:p>
            <w:r>
              <w:rPr>
                <w:sz w:val="19"/>
              </w:rPr>
              <w:t>O documento de referência cita CNNs e LSTMs para extrair padrões espaciais do canal e prever séries</w:t>
              <w:br/>
              <w:t xml:space="preserve">temporais. Este projeto usa apenas RandomForest/XGBoost sobre dado tabular — </w:t>
            </w:r>
            <w:r>
              <w:rPr>
                <w:b/>
                <w:sz w:val="19"/>
              </w:rPr>
              <w:t>CNNs exigiriam imagem</w:t>
              <w:br/>
              <w:t>real</w:t>
            </w:r>
            <w:r>
              <w:rPr>
                <w:sz w:val="19"/>
              </w:rPr>
              <w:t xml:space="preserve"> (que não existe aqui) e </w:t>
            </w:r>
            <w:r>
              <w:rPr>
                <w:b/>
                <w:sz w:val="19"/>
              </w:rPr>
              <w:t>LSTM exigiria uma série temporal densa e regular</w:t>
            </w:r>
            <w:r>
              <w:rPr>
                <w:sz w:val="19"/>
              </w:rPr>
              <w:t xml:space="preserve"> (a</w:t>
              <w:br/>
              <w:t>CETESB real tem ~56 dias de intervalo médio e falhas de amostragem, Seção 26) para justificar a complexidade</w:t>
              <w:br/>
              <w:t>extra sobre uma árvore de decisão, que já lida bem com dado tabular esparso e irregular. Adicionar Deep Learning</w:t>
              <w:br/>
              <w:t>aqui seria complexidade sem lastro nos dados disponíveis — precisamente o tipo de "correlação espúria" que a XAI</w:t>
              <w:br/>
              <w:t>(SHAP) é citada no documento de referência para evitar.</w:t>
            </w:r>
          </w:p>
        </w:tc>
      </w:tr>
    </w:tbl>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1F1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1F1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1F1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