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2D97" w:rsidRDefault="002B2D97">
      <w:pPr>
        <w:spacing w:before="1600"/>
      </w:pPr>
    </w:p>
    <w:p w:rsidR="002B2D97" w:rsidRDefault="000647BC">
      <w:pPr>
        <w:jc w:val="center"/>
      </w:pPr>
      <w:r>
        <w:rPr>
          <w:b/>
          <w:bCs/>
          <w:color w:val="1F4E5F"/>
          <w:spacing w:val="20"/>
          <w:sz w:val="32"/>
          <w:szCs w:val="32"/>
        </w:rPr>
        <w:t>WATERWEAVE-TIETÊ</w:t>
      </w:r>
    </w:p>
    <w:p w:rsidR="002B2D97" w:rsidRDefault="000647BC">
      <w:pPr>
        <w:spacing w:before="200" w:after="400"/>
        <w:jc w:val="center"/>
      </w:pPr>
      <w:r>
        <w:rPr>
          <w:i/>
          <w:iCs/>
          <w:color w:val="595959"/>
        </w:rPr>
        <w:t>Plataforma híbrida de gestão de recursos hídricos</w:t>
      </w:r>
    </w:p>
    <w:p w:rsidR="002B2D97" w:rsidRDefault="000647BC">
      <w:pPr>
        <w:spacing w:before="300"/>
        <w:jc w:val="center"/>
      </w:pPr>
      <w:r>
        <w:rPr>
          <w:b/>
          <w:bCs/>
          <w:sz w:val="40"/>
          <w:szCs w:val="40"/>
        </w:rPr>
        <w:t>Integração de Dados Heterogêneos</w:t>
      </w:r>
    </w:p>
    <w:p w:rsidR="002B2D97" w:rsidRDefault="000647BC">
      <w:pPr>
        <w:spacing w:before="200" w:after="900"/>
        <w:jc w:val="center"/>
      </w:pPr>
      <w:r>
        <w:rPr>
          <w:color w:val="595959"/>
          <w:sz w:val="24"/>
          <w:szCs w:val="24"/>
        </w:rPr>
        <w:t>Sensoriamento remoto + dados in situ numa base analítica coerente</w:t>
      </w:r>
    </w:p>
    <w:p w:rsidR="002B2D97" w:rsidRDefault="000647BC">
      <w:pPr>
        <w:spacing w:before="200"/>
        <w:jc w:val="center"/>
      </w:pPr>
      <w:r>
        <w:rPr>
          <w:b/>
          <w:bCs/>
        </w:rPr>
        <w:t>Relatório técnico</w:t>
      </w:r>
    </w:p>
    <w:p w:rsidR="002B2D97" w:rsidRDefault="000647BC">
      <w:pPr>
        <w:spacing w:before="100"/>
        <w:jc w:val="center"/>
      </w:pPr>
      <w:r>
        <w:t>Projeto WaterWeave-Water4All</w:t>
      </w:r>
    </w:p>
    <w:p w:rsidR="002B2D97" w:rsidRDefault="000647BC">
      <w:pPr>
        <w:spacing w:before="100"/>
        <w:jc w:val="center"/>
      </w:pPr>
      <w:r>
        <w:rPr>
          <w:color w:val="595959"/>
        </w:rPr>
        <w:t>Julho de 2026</w:t>
      </w:r>
    </w:p>
    <w:p w:rsidR="002B2D97" w:rsidRDefault="000647BC">
      <w:r>
        <w:br w:type="page"/>
      </w:r>
    </w:p>
    <w:p w:rsidR="002B2D97" w:rsidRDefault="000647BC">
      <w:pPr>
        <w:pStyle w:val="Heading1"/>
      </w:pPr>
      <w:r>
        <w:lastRenderedPageBreak/>
        <w:t>Sumário</w:t>
      </w:r>
    </w:p>
    <w:p w:rsidR="002B2D97" w:rsidRDefault="000647BC">
      <w:pPr>
        <w:spacing w:after="200"/>
      </w:pPr>
      <w:r>
        <w:rPr>
          <w:i/>
          <w:iCs/>
          <w:color w:val="595959"/>
          <w:sz w:val="18"/>
          <w:szCs w:val="18"/>
        </w:rPr>
        <w:t>(Clique com o botão direito sobre o sumário e escolha “Atualizar campo” após abrir no Word para gerar os números de página.)</w:t>
      </w:r>
    </w:p>
    <w:sdt>
      <w:sdtPr>
        <w:alias w:val="Sumário"/>
        <w:id w:val="1714389597"/>
      </w:sdtPr>
      <w:sdtEndPr/>
      <w:sdtContent>
        <w:p w:rsidR="002B2D97" w:rsidRDefault="000647BC">
          <w:r>
            <w:fldChar w:fldCharType="begin"/>
          </w:r>
          <w:r>
            <w:instrText>TOC \h \o "1-3"</w:instrText>
          </w:r>
          <w:r>
            <w:fldChar w:fldCharType="separate"/>
          </w:r>
        </w:p>
        <w:p w:rsidR="002B2D97" w:rsidRDefault="000647BC">
          <w:r>
            <w:fldChar w:fldCharType="end"/>
          </w:r>
        </w:p>
      </w:sdtContent>
    </w:sdt>
    <w:p w:rsidR="002B2D97" w:rsidRDefault="000647BC">
      <w:r>
        <w:br w:type="page"/>
      </w:r>
    </w:p>
    <w:p w:rsidR="002B2D97" w:rsidRDefault="000647BC">
      <w:pPr>
        <w:pStyle w:val="Heading1"/>
      </w:pPr>
      <w:r>
        <w:lastRenderedPageBreak/>
        <w:t>Introdução</w:t>
      </w:r>
    </w:p>
    <w:p w:rsidR="002B2D97" w:rsidRDefault="000647BC" w:rsidP="001A2B31">
      <w:pPr>
        <w:spacing w:after="200" w:line="300" w:lineRule="auto"/>
        <w:jc w:val="both"/>
      </w:pPr>
      <w:r>
        <w:t xml:space="preserve">Este relatório responde ao item 2 do objetivo de pesquisa do WaterWeave-Water4All: a integração </w:t>
      </w:r>
      <w:r>
        <w:t>de dados heterogêneos — sensoriamento remoto (satélite) e dados in situ (medição de campo) — numa base analítica coerente. "Heterogêneo" aqui não é um adjetivo genérico: as fontes que o projeto integra diferem entre si em pelo menos cinco dimensões técnica</w:t>
      </w:r>
      <w:r>
        <w:t>s concretas (espaço, tempo, cobertura temporal, confiabilidade e semântica), detalhadas na Seção 2. Integrar dados heterogêneos não é apenas "juntar duas tabelas" — é decidir, de forma explícita e documentada, como resolver cada uma dessas diferenças sem d</w:t>
      </w:r>
      <w:r>
        <w:t>estruir a informação nem fingir uma precisão que a fonte não tem.</w:t>
      </w:r>
    </w:p>
    <w:p w:rsidR="002B2D97" w:rsidRDefault="000647BC" w:rsidP="001A2B31">
      <w:pPr>
        <w:spacing w:after="200" w:line="300" w:lineRule="auto"/>
        <w:jc w:val="both"/>
      </w:pPr>
      <w:r>
        <w:t>O relatório mostra, com base direta no código do pipeline (src/waterweave/ingestion/, transform/), COMO essa integração ocorre — a arquitetura e os mecanismos usados — e também é honesto sob</w:t>
      </w:r>
      <w:r>
        <w:t>re o QUANTO já foi integrado: uma fonte de sensoriamento remoto (uso do solo, MapBiomas) já alimenta o modelo de Machine Learning; outra (índices espectrais via Landsat) tem toda a mecânica de integração pronta, mas permanece deliberadamente fora do treino</w:t>
      </w:r>
      <w:r>
        <w:t xml:space="preserve"> até ser calibrada — uma decisão de qualidade de dado, não uma lacuna esquecida.</w:t>
      </w:r>
    </w:p>
    <w:p w:rsidR="002B2D97" w:rsidRDefault="000647BC">
      <w:r>
        <w:br w:type="page"/>
      </w:r>
    </w:p>
    <w:p w:rsidR="002B2D97" w:rsidRDefault="000647BC">
      <w:pPr>
        <w:pStyle w:val="Heading1"/>
      </w:pPr>
      <w:r>
        <w:lastRenderedPageBreak/>
        <w:t>1. As duas famílias de dados a integrar</w:t>
      </w:r>
    </w:p>
    <w:p w:rsidR="002B2D97" w:rsidRDefault="000647BC">
      <w:pPr>
        <w:pStyle w:val="Heading2"/>
      </w:pPr>
      <w:r>
        <w:t>1.1 Dados in situ — medição direta em campo</w:t>
      </w:r>
    </w:p>
    <w:p w:rsidR="002B2D97" w:rsidRDefault="000647BC" w:rsidP="001A2B31">
      <w:pPr>
        <w:spacing w:after="200" w:line="300" w:lineRule="auto"/>
        <w:jc w:val="both"/>
      </w:pPr>
      <w:r>
        <w:t>São medições feitas por um instrumento ou coleta física no próprio local — o rio, a marge</w:t>
      </w:r>
      <w:r>
        <w:t>m, o posto de medição. É o tipo de dado mais antigo e mais confiável do projeto, mas caro de obter em cobertura espacial (cada ponto exige um posto físico) e sujeito a lacunas de manutenção/publicação.</w:t>
      </w:r>
    </w:p>
    <w:tbl>
      <w:tblPr>
        <w:tblW w:w="9026"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600"/>
        <w:gridCol w:w="3600"/>
        <w:gridCol w:w="2826"/>
      </w:tblGrid>
      <w:tr w:rsidR="002B2D97">
        <w:tblPrEx>
          <w:tblCellMar>
            <w:top w:w="0" w:type="dxa"/>
            <w:bottom w:w="0" w:type="dxa"/>
          </w:tblCellMar>
        </w:tblPrEx>
        <w:trPr>
          <w:tblHeader/>
        </w:trPr>
        <w:tc>
          <w:tcPr>
            <w:tcW w:w="2600" w:type="dxa"/>
            <w:shd w:val="clear" w:color="auto" w:fill="1F4E5F"/>
            <w:tcMar>
              <w:top w:w="100" w:type="dxa"/>
              <w:left w:w="120" w:type="dxa"/>
              <w:bottom w:w="100" w:type="dxa"/>
              <w:right w:w="120" w:type="dxa"/>
            </w:tcMar>
            <w:vAlign w:val="center"/>
          </w:tcPr>
          <w:p w:rsidR="002B2D97" w:rsidRDefault="000647BC">
            <w:r>
              <w:rPr>
                <w:b/>
                <w:bCs/>
                <w:color w:val="FFFFFF"/>
                <w:sz w:val="20"/>
                <w:szCs w:val="20"/>
              </w:rPr>
              <w:t>Fonte in situ</w:t>
            </w:r>
          </w:p>
        </w:tc>
        <w:tc>
          <w:tcPr>
            <w:tcW w:w="3600" w:type="dxa"/>
            <w:shd w:val="clear" w:color="auto" w:fill="1F4E5F"/>
            <w:tcMar>
              <w:top w:w="100" w:type="dxa"/>
              <w:left w:w="120" w:type="dxa"/>
              <w:bottom w:w="100" w:type="dxa"/>
              <w:right w:w="120" w:type="dxa"/>
            </w:tcMar>
            <w:vAlign w:val="center"/>
          </w:tcPr>
          <w:p w:rsidR="002B2D97" w:rsidRDefault="000647BC">
            <w:r>
              <w:rPr>
                <w:b/>
                <w:bCs/>
                <w:color w:val="FFFFFF"/>
                <w:sz w:val="20"/>
                <w:szCs w:val="20"/>
              </w:rPr>
              <w:t>O que mede</w:t>
            </w:r>
          </w:p>
        </w:tc>
        <w:tc>
          <w:tcPr>
            <w:tcW w:w="2826" w:type="dxa"/>
            <w:shd w:val="clear" w:color="auto" w:fill="1F4E5F"/>
            <w:tcMar>
              <w:top w:w="100" w:type="dxa"/>
              <w:left w:w="120" w:type="dxa"/>
              <w:bottom w:w="100" w:type="dxa"/>
              <w:right w:w="120" w:type="dxa"/>
            </w:tcMar>
            <w:vAlign w:val="center"/>
          </w:tcPr>
          <w:p w:rsidR="002B2D97" w:rsidRDefault="000647BC">
            <w:r>
              <w:rPr>
                <w:b/>
                <w:bCs/>
                <w:color w:val="FFFFFF"/>
                <w:sz w:val="20"/>
                <w:szCs w:val="20"/>
              </w:rPr>
              <w:t>Como chega ao pipeline</w:t>
            </w:r>
          </w:p>
        </w:tc>
      </w:tr>
      <w:tr w:rsidR="002B2D97">
        <w:tblPrEx>
          <w:tblCellMar>
            <w:top w:w="0" w:type="dxa"/>
            <w:bottom w:w="0" w:type="dxa"/>
          </w:tblCellMar>
        </w:tblPrEx>
        <w:tc>
          <w:tcPr>
            <w:tcW w:w="2600" w:type="dxa"/>
            <w:shd w:val="clear" w:color="auto" w:fill="FFFFFF"/>
            <w:tcMar>
              <w:top w:w="90" w:type="dxa"/>
              <w:left w:w="120" w:type="dxa"/>
              <w:bottom w:w="90" w:type="dxa"/>
              <w:right w:w="120" w:type="dxa"/>
            </w:tcMar>
            <w:vAlign w:val="center"/>
          </w:tcPr>
          <w:p w:rsidR="002B2D97" w:rsidRDefault="000647BC">
            <w:pPr>
              <w:spacing w:line="260" w:lineRule="auto"/>
            </w:pPr>
            <w:r>
              <w:rPr>
                <w:sz w:val="19"/>
                <w:szCs w:val="19"/>
              </w:rPr>
              <w:t>CETESB (rede estadual de qualidade da água)</w:t>
            </w:r>
          </w:p>
        </w:tc>
        <w:tc>
          <w:tcPr>
            <w:tcW w:w="3600" w:type="dxa"/>
            <w:shd w:val="clear" w:color="auto" w:fill="FFFFFF"/>
            <w:tcMar>
              <w:top w:w="90" w:type="dxa"/>
              <w:left w:w="120" w:type="dxa"/>
              <w:bottom w:w="90" w:type="dxa"/>
              <w:right w:w="120" w:type="dxa"/>
            </w:tcMar>
            <w:vAlign w:val="center"/>
          </w:tcPr>
          <w:p w:rsidR="002B2D97" w:rsidRDefault="000647BC" w:rsidP="001A2B31">
            <w:pPr>
              <w:spacing w:line="260" w:lineRule="auto"/>
              <w:jc w:val="center"/>
            </w:pPr>
            <w:r>
              <w:rPr>
                <w:sz w:val="19"/>
                <w:szCs w:val="19"/>
              </w:rPr>
              <w:t>IQA, Oxigênio Dissolvido, DBO, metais pesados — 1978-2024</w:t>
            </w:r>
          </w:p>
        </w:tc>
        <w:tc>
          <w:tcPr>
            <w:tcW w:w="2826" w:type="dxa"/>
            <w:shd w:val="clear" w:color="auto" w:fill="FFFFFF"/>
            <w:tcMar>
              <w:top w:w="90" w:type="dxa"/>
              <w:left w:w="120" w:type="dxa"/>
              <w:bottom w:w="90" w:type="dxa"/>
              <w:right w:w="120" w:type="dxa"/>
            </w:tcMar>
            <w:vAlign w:val="center"/>
          </w:tcPr>
          <w:p w:rsidR="002B2D97" w:rsidRDefault="000647BC" w:rsidP="001A2B31">
            <w:pPr>
              <w:spacing w:line="260" w:lineRule="auto"/>
              <w:jc w:val="center"/>
            </w:pPr>
            <w:r>
              <w:rPr>
                <w:sz w:val="19"/>
                <w:szCs w:val="19"/>
              </w:rPr>
              <w:t>Export local (base_de_dados_pontos.xlsx), 699 pontos, ~2,4 milhões de medições</w:t>
            </w:r>
          </w:p>
        </w:tc>
      </w:tr>
      <w:tr w:rsidR="002B2D97">
        <w:tblPrEx>
          <w:tblCellMar>
            <w:top w:w="0" w:type="dxa"/>
            <w:bottom w:w="0" w:type="dxa"/>
          </w:tblCellMar>
        </w:tblPrEx>
        <w:tc>
          <w:tcPr>
            <w:tcW w:w="2600" w:type="dxa"/>
            <w:shd w:val="clear" w:color="auto" w:fill="F2F6F7"/>
            <w:tcMar>
              <w:top w:w="90" w:type="dxa"/>
              <w:left w:w="120" w:type="dxa"/>
              <w:bottom w:w="90" w:type="dxa"/>
              <w:right w:w="120" w:type="dxa"/>
            </w:tcMar>
            <w:vAlign w:val="center"/>
          </w:tcPr>
          <w:p w:rsidR="002B2D97" w:rsidRDefault="000647BC">
            <w:pPr>
              <w:spacing w:line="260" w:lineRule="auto"/>
            </w:pPr>
            <w:r>
              <w:rPr>
                <w:sz w:val="19"/>
                <w:szCs w:val="19"/>
              </w:rPr>
              <w:t>DAEE (vazão e chuva)</w:t>
            </w:r>
          </w:p>
        </w:tc>
        <w:tc>
          <w:tcPr>
            <w:tcW w:w="3600" w:type="dxa"/>
            <w:shd w:val="clear" w:color="auto" w:fill="F2F6F7"/>
            <w:tcMar>
              <w:top w:w="90" w:type="dxa"/>
              <w:left w:w="120" w:type="dxa"/>
              <w:bottom w:w="90" w:type="dxa"/>
              <w:right w:w="120" w:type="dxa"/>
            </w:tcMar>
            <w:vAlign w:val="center"/>
          </w:tcPr>
          <w:p w:rsidR="002B2D97" w:rsidRDefault="000647BC" w:rsidP="001A2B31">
            <w:pPr>
              <w:spacing w:line="260" w:lineRule="auto"/>
              <w:jc w:val="center"/>
            </w:pPr>
            <w:r>
              <w:rPr>
                <w:sz w:val="19"/>
                <w:szCs w:val="19"/>
              </w:rPr>
              <w:t>Vazão (m³/s) e altura de chuva (mm) por posto</w:t>
            </w:r>
          </w:p>
        </w:tc>
        <w:tc>
          <w:tcPr>
            <w:tcW w:w="2826" w:type="dxa"/>
            <w:shd w:val="clear" w:color="auto" w:fill="F2F6F7"/>
            <w:tcMar>
              <w:top w:w="90" w:type="dxa"/>
              <w:left w:w="120" w:type="dxa"/>
              <w:bottom w:w="90" w:type="dxa"/>
              <w:right w:w="120" w:type="dxa"/>
            </w:tcMar>
            <w:vAlign w:val="center"/>
          </w:tcPr>
          <w:p w:rsidR="002B2D97" w:rsidRDefault="000647BC" w:rsidP="001A2B31">
            <w:pPr>
              <w:spacing w:line="260" w:lineRule="auto"/>
              <w:jc w:val="center"/>
            </w:pPr>
            <w:r>
              <w:rPr>
                <w:sz w:val="19"/>
                <w:szCs w:val="19"/>
              </w:rPr>
              <w:t>Planilhas locais por posto + API pública ANA/SNIRH (conector ao vivo)</w:t>
            </w:r>
          </w:p>
        </w:tc>
      </w:tr>
    </w:tbl>
    <w:p w:rsidR="002B2D97" w:rsidRDefault="000647BC">
      <w:pPr>
        <w:pStyle w:val="Heading2"/>
      </w:pPr>
      <w:r>
        <w:t>1.2 Dados de sensoriamento remoto — observação indireta via satélite</w:t>
      </w:r>
    </w:p>
    <w:p w:rsidR="002B2D97" w:rsidRDefault="000647BC" w:rsidP="001A2B31">
      <w:pPr>
        <w:spacing w:after="200" w:line="300" w:lineRule="auto"/>
        <w:jc w:val="both"/>
      </w:pPr>
      <w:r>
        <w:t>São medições feitas por sensores orbitais (imagens de satélite), processadas por índices espectrais ou classificação de cobertura — nunca um instrumento tocando a água. A vantagem é cobertura espacial completa e histórico longo sem custo de manutenção físi</w:t>
      </w:r>
      <w:r>
        <w:t>ca; a desvantagem é que o que o satélite "vê" é uma medida indireta, que precisa de calibração contra medição real para ter significado quantitativo confiável.</w:t>
      </w:r>
    </w:p>
    <w:tbl>
      <w:tblPr>
        <w:tblW w:w="9026"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099"/>
        <w:gridCol w:w="2654"/>
        <w:gridCol w:w="4273"/>
      </w:tblGrid>
      <w:tr w:rsidR="002B2D97">
        <w:tblPrEx>
          <w:tblCellMar>
            <w:top w:w="0" w:type="dxa"/>
            <w:bottom w:w="0" w:type="dxa"/>
          </w:tblCellMar>
        </w:tblPrEx>
        <w:trPr>
          <w:tblHeader/>
        </w:trPr>
        <w:tc>
          <w:tcPr>
            <w:tcW w:w="2800" w:type="dxa"/>
            <w:shd w:val="clear" w:color="auto" w:fill="1F4E5F"/>
            <w:tcMar>
              <w:top w:w="100" w:type="dxa"/>
              <w:left w:w="120" w:type="dxa"/>
              <w:bottom w:w="100" w:type="dxa"/>
              <w:right w:w="120" w:type="dxa"/>
            </w:tcMar>
            <w:vAlign w:val="center"/>
          </w:tcPr>
          <w:p w:rsidR="002B2D97" w:rsidRDefault="000647BC" w:rsidP="001A2B31">
            <w:pPr>
              <w:jc w:val="center"/>
            </w:pPr>
            <w:r>
              <w:rPr>
                <w:b/>
                <w:bCs/>
                <w:color w:val="FFFFFF"/>
                <w:sz w:val="20"/>
                <w:szCs w:val="20"/>
              </w:rPr>
              <w:t>Fonte de sensoriamento remoto</w:t>
            </w:r>
          </w:p>
        </w:tc>
        <w:tc>
          <w:tcPr>
            <w:tcW w:w="3800" w:type="dxa"/>
            <w:shd w:val="clear" w:color="auto" w:fill="1F4E5F"/>
            <w:tcMar>
              <w:top w:w="100" w:type="dxa"/>
              <w:left w:w="120" w:type="dxa"/>
              <w:bottom w:w="100" w:type="dxa"/>
              <w:right w:w="120" w:type="dxa"/>
            </w:tcMar>
            <w:vAlign w:val="center"/>
          </w:tcPr>
          <w:p w:rsidR="002B2D97" w:rsidRDefault="000647BC" w:rsidP="001A2B31">
            <w:pPr>
              <w:jc w:val="center"/>
            </w:pPr>
            <w:r>
              <w:rPr>
                <w:b/>
                <w:bCs/>
                <w:color w:val="FFFFFF"/>
                <w:sz w:val="20"/>
                <w:szCs w:val="20"/>
              </w:rPr>
              <w:t>O que mede</w:t>
            </w:r>
          </w:p>
        </w:tc>
        <w:tc>
          <w:tcPr>
            <w:tcW w:w="2426" w:type="dxa"/>
            <w:shd w:val="clear" w:color="auto" w:fill="1F4E5F"/>
            <w:tcMar>
              <w:top w:w="100" w:type="dxa"/>
              <w:left w:w="120" w:type="dxa"/>
              <w:bottom w:w="100" w:type="dxa"/>
              <w:right w:w="120" w:type="dxa"/>
            </w:tcMar>
            <w:vAlign w:val="center"/>
          </w:tcPr>
          <w:p w:rsidR="002B2D97" w:rsidRDefault="000647BC" w:rsidP="001A2B31">
            <w:pPr>
              <w:jc w:val="center"/>
            </w:pPr>
            <w:r>
              <w:rPr>
                <w:b/>
                <w:bCs/>
                <w:color w:val="FFFFFF"/>
                <w:sz w:val="20"/>
                <w:szCs w:val="20"/>
              </w:rPr>
              <w:t>Como chega ao pipeline</w:t>
            </w:r>
          </w:p>
        </w:tc>
      </w:tr>
      <w:tr w:rsidR="002B2D97">
        <w:tblPrEx>
          <w:tblCellMar>
            <w:top w:w="0" w:type="dxa"/>
            <w:bottom w:w="0" w:type="dxa"/>
          </w:tblCellMar>
        </w:tblPrEx>
        <w:tc>
          <w:tcPr>
            <w:tcW w:w="2800" w:type="dxa"/>
            <w:shd w:val="clear" w:color="auto" w:fill="FFFFFF"/>
            <w:tcMar>
              <w:top w:w="90" w:type="dxa"/>
              <w:left w:w="120" w:type="dxa"/>
              <w:bottom w:w="90" w:type="dxa"/>
              <w:right w:w="120" w:type="dxa"/>
            </w:tcMar>
            <w:vAlign w:val="center"/>
          </w:tcPr>
          <w:p w:rsidR="002B2D97" w:rsidRDefault="000647BC" w:rsidP="001A2B31">
            <w:pPr>
              <w:spacing w:line="260" w:lineRule="auto"/>
              <w:jc w:val="center"/>
            </w:pPr>
            <w:r>
              <w:rPr>
                <w:sz w:val="19"/>
                <w:szCs w:val="19"/>
              </w:rPr>
              <w:t>MapBiomas (Coleção 9, via Google Earth Engine)</w:t>
            </w:r>
          </w:p>
        </w:tc>
        <w:tc>
          <w:tcPr>
            <w:tcW w:w="3800" w:type="dxa"/>
            <w:shd w:val="clear" w:color="auto" w:fill="FFFFFF"/>
            <w:tcMar>
              <w:top w:w="90" w:type="dxa"/>
              <w:left w:w="120" w:type="dxa"/>
              <w:bottom w:w="90" w:type="dxa"/>
              <w:right w:w="120" w:type="dxa"/>
            </w:tcMar>
            <w:vAlign w:val="center"/>
          </w:tcPr>
          <w:p w:rsidR="002B2D97" w:rsidRDefault="000647BC" w:rsidP="001A2B31">
            <w:pPr>
              <w:spacing w:line="260" w:lineRule="auto"/>
              <w:jc w:val="both"/>
            </w:pPr>
            <w:r>
              <w:rPr>
                <w:sz w:val="19"/>
                <w:szCs w:val="19"/>
              </w:rPr>
              <w:t>Classificação de uso do solo — % de área por macrocategoria (natural, agropecuária, urbano/industrial, água), 1985-2023</w:t>
            </w:r>
          </w:p>
        </w:tc>
        <w:tc>
          <w:tcPr>
            <w:tcW w:w="2426" w:type="dxa"/>
            <w:shd w:val="clear" w:color="auto" w:fill="FFFFFF"/>
            <w:tcMar>
              <w:top w:w="90" w:type="dxa"/>
              <w:left w:w="120" w:type="dxa"/>
              <w:bottom w:w="90" w:type="dxa"/>
              <w:right w:w="120" w:type="dxa"/>
            </w:tcMar>
            <w:vAlign w:val="center"/>
          </w:tcPr>
          <w:p w:rsidR="002B2D97" w:rsidRDefault="000647BC" w:rsidP="001A2B31">
            <w:pPr>
              <w:spacing w:line="260" w:lineRule="auto"/>
              <w:jc w:val="center"/>
            </w:pPr>
            <w:r>
              <w:rPr>
                <w:sz w:val="19"/>
                <w:szCs w:val="19"/>
              </w:rPr>
              <w:t>Conector real (ingestion/connectors/mapbiomas.py), buffer de 5 km ao redor de cada estaçã</w:t>
            </w:r>
            <w:r>
              <w:rPr>
                <w:sz w:val="19"/>
                <w:szCs w:val="19"/>
              </w:rPr>
              <w:t>o</w:t>
            </w:r>
          </w:p>
        </w:tc>
      </w:tr>
      <w:tr w:rsidR="002B2D97">
        <w:tblPrEx>
          <w:tblCellMar>
            <w:top w:w="0" w:type="dxa"/>
            <w:bottom w:w="0" w:type="dxa"/>
          </w:tblCellMar>
        </w:tblPrEx>
        <w:tc>
          <w:tcPr>
            <w:tcW w:w="2800" w:type="dxa"/>
            <w:shd w:val="clear" w:color="auto" w:fill="F2F6F7"/>
            <w:tcMar>
              <w:top w:w="90" w:type="dxa"/>
              <w:left w:w="120" w:type="dxa"/>
              <w:bottom w:w="90" w:type="dxa"/>
              <w:right w:w="120" w:type="dxa"/>
            </w:tcMar>
            <w:vAlign w:val="center"/>
          </w:tcPr>
          <w:p w:rsidR="002B2D97" w:rsidRDefault="000647BC" w:rsidP="001A2B31">
            <w:pPr>
              <w:spacing w:line="260" w:lineRule="auto"/>
              <w:jc w:val="center"/>
            </w:pPr>
            <w:r>
              <w:rPr>
                <w:sz w:val="19"/>
                <w:szCs w:val="19"/>
              </w:rPr>
              <w:t>Landsat Collection 2 (via Google Earth Engine)</w:t>
            </w:r>
          </w:p>
        </w:tc>
        <w:tc>
          <w:tcPr>
            <w:tcW w:w="3800" w:type="dxa"/>
            <w:shd w:val="clear" w:color="auto" w:fill="F2F6F7"/>
            <w:tcMar>
              <w:top w:w="90" w:type="dxa"/>
              <w:left w:w="120" w:type="dxa"/>
              <w:bottom w:w="90" w:type="dxa"/>
              <w:right w:w="120" w:type="dxa"/>
            </w:tcMar>
            <w:vAlign w:val="center"/>
          </w:tcPr>
          <w:p w:rsidR="002B2D97" w:rsidRDefault="000647BC" w:rsidP="001A2B31">
            <w:pPr>
              <w:spacing w:line="260" w:lineRule="auto"/>
              <w:jc w:val="both"/>
            </w:pPr>
            <w:r>
              <w:rPr>
                <w:sz w:val="19"/>
                <w:szCs w:val="19"/>
              </w:rPr>
              <w:t>NDVI (vegetação ciliar), temperatura de superfície, NDTI (proxy espectral de turbidez), 1984-presente</w:t>
            </w:r>
          </w:p>
        </w:tc>
        <w:tc>
          <w:tcPr>
            <w:tcW w:w="2426" w:type="dxa"/>
            <w:shd w:val="clear" w:color="auto" w:fill="F2F6F7"/>
            <w:tcMar>
              <w:top w:w="90" w:type="dxa"/>
              <w:left w:w="120" w:type="dxa"/>
              <w:bottom w:w="90" w:type="dxa"/>
              <w:right w:w="120" w:type="dxa"/>
            </w:tcMar>
            <w:vAlign w:val="center"/>
          </w:tcPr>
          <w:p w:rsidR="002B2D97" w:rsidRDefault="000647BC" w:rsidP="001A2B31">
            <w:pPr>
              <w:spacing w:line="260" w:lineRule="auto"/>
              <w:jc w:val="center"/>
            </w:pPr>
            <w:r>
              <w:rPr>
                <w:sz w:val="19"/>
                <w:szCs w:val="19"/>
              </w:rPr>
              <w:t>Conector real (ingestion/connectors/sensoriamento_historico.py), 7 pontos fixos de amostragem</w:t>
            </w:r>
          </w:p>
        </w:tc>
      </w:tr>
      <w:tr w:rsidR="002B2D97">
        <w:tblPrEx>
          <w:tblCellMar>
            <w:top w:w="0" w:type="dxa"/>
            <w:bottom w:w="0" w:type="dxa"/>
          </w:tblCellMar>
        </w:tblPrEx>
        <w:tc>
          <w:tcPr>
            <w:tcW w:w="2800" w:type="dxa"/>
            <w:shd w:val="clear" w:color="auto" w:fill="FFFFFF"/>
            <w:tcMar>
              <w:top w:w="90" w:type="dxa"/>
              <w:left w:w="120" w:type="dxa"/>
              <w:bottom w:w="90" w:type="dxa"/>
              <w:right w:w="120" w:type="dxa"/>
            </w:tcMar>
            <w:vAlign w:val="center"/>
          </w:tcPr>
          <w:p w:rsidR="002B2D97" w:rsidRDefault="000647BC" w:rsidP="001A2B31">
            <w:pPr>
              <w:spacing w:line="260" w:lineRule="auto"/>
              <w:jc w:val="center"/>
            </w:pPr>
            <w:r>
              <w:rPr>
                <w:sz w:val="19"/>
                <w:szCs w:val="19"/>
              </w:rPr>
              <w:t>Planilha de sensoriamento ilustrativa</w:t>
            </w:r>
          </w:p>
        </w:tc>
        <w:tc>
          <w:tcPr>
            <w:tcW w:w="3800" w:type="dxa"/>
            <w:shd w:val="clear" w:color="auto" w:fill="FFFFFF"/>
            <w:tcMar>
              <w:top w:w="90" w:type="dxa"/>
              <w:left w:w="120" w:type="dxa"/>
              <w:bottom w:w="90" w:type="dxa"/>
              <w:right w:w="120" w:type="dxa"/>
            </w:tcMar>
            <w:vAlign w:val="center"/>
          </w:tcPr>
          <w:p w:rsidR="002B2D97" w:rsidRDefault="000647BC" w:rsidP="001A2B31">
            <w:pPr>
              <w:spacing w:line="260" w:lineRule="auto"/>
              <w:jc w:val="both"/>
            </w:pPr>
            <w:r>
              <w:rPr>
                <w:sz w:val="19"/>
                <w:szCs w:val="19"/>
              </w:rPr>
              <w:t>Os mesmos parâmetros acima, versão demonstrativa</w:t>
            </w:r>
          </w:p>
        </w:tc>
        <w:tc>
          <w:tcPr>
            <w:tcW w:w="2426" w:type="dxa"/>
            <w:shd w:val="clear" w:color="auto" w:fill="FFFFFF"/>
            <w:tcMar>
              <w:top w:w="90" w:type="dxa"/>
              <w:left w:w="120" w:type="dxa"/>
              <w:bottom w:w="90" w:type="dxa"/>
              <w:right w:w="120" w:type="dxa"/>
            </w:tcMar>
            <w:vAlign w:val="center"/>
          </w:tcPr>
          <w:p w:rsidR="002B2D97" w:rsidRDefault="000647BC" w:rsidP="001A2B31">
            <w:pPr>
              <w:spacing w:line="260" w:lineRule="auto"/>
              <w:jc w:val="center"/>
            </w:pPr>
            <w:r>
              <w:rPr>
                <w:sz w:val="19"/>
                <w:szCs w:val="19"/>
              </w:rPr>
              <w:t>Arquivo local (Sensoriamento_Remoto_Rio_Tiete.xlsx), 14 linhas, jan-jun/2026, autodeclarada "Simulação Consolidada"</w:t>
            </w:r>
          </w:p>
        </w:tc>
      </w:tr>
    </w:tbl>
    <w:p w:rsidR="002B2D97" w:rsidRDefault="000647BC">
      <w:r>
        <w:br w:type="page"/>
      </w:r>
      <w:bookmarkStart w:id="0" w:name="_GoBack"/>
      <w:bookmarkEnd w:id="0"/>
    </w:p>
    <w:p w:rsidR="002B2D97" w:rsidRDefault="000647BC">
      <w:pPr>
        <w:pStyle w:val="Heading1"/>
      </w:pPr>
      <w:r>
        <w:lastRenderedPageBreak/>
        <w:t>2. Cinco dimensões de heterogeneidade que precisam ser resolvidas</w:t>
      </w:r>
    </w:p>
    <w:p w:rsidR="002B2D97" w:rsidRDefault="000647BC" w:rsidP="001A2B31">
      <w:pPr>
        <w:spacing w:after="200" w:line="300" w:lineRule="auto"/>
        <w:jc w:val="both"/>
      </w:pPr>
      <w:r>
        <w:t>Antes de qualquer junção de tabelas, cada uma destas cinco diferenças precisa de uma decisão explícita — ignorá-las produz uma base "coerente na aparência", mas enganosa no conteúdo.</w:t>
      </w:r>
    </w:p>
    <w:p w:rsidR="002B2D97" w:rsidRDefault="000647BC" w:rsidP="001A2B31">
      <w:pPr>
        <w:pStyle w:val="Heading3"/>
        <w:jc w:val="both"/>
      </w:pPr>
      <w:r>
        <w:t>2.1 Gra</w:t>
      </w:r>
      <w:r>
        <w:t>nularidade espacial</w:t>
      </w:r>
    </w:p>
    <w:p w:rsidR="002B2D97" w:rsidRDefault="000647BC" w:rsidP="001A2B31">
      <w:pPr>
        <w:spacing w:after="200" w:line="300" w:lineRule="auto"/>
        <w:jc w:val="both"/>
      </w:pPr>
      <w:r>
        <w:t xml:space="preserve">Dado in situ existe num PONTO exato (a estação CETESB, o posto DAEE) — sem área, uma coordenada. Dado de sensoriamento remoto existe num PIXEL ou num BUFFER ao redor de um ponto de amostragem (o MapBiomas soma área dentro de um raio de </w:t>
      </w:r>
      <w:r>
        <w:t>5 km da estação; o Landsat extrai um valor médio dentro de um buffer óptico ao redor de cada ponto de monitoramento). Nenhum dos dois nasce na granularidade que os modelos do projeto realmente usam: o TRECHO do rio (Alto/Médio/Baixo Tietê, dezenas a centen</w:t>
      </w:r>
      <w:r>
        <w:t>as de km cada).</w:t>
      </w:r>
    </w:p>
    <w:p w:rsidR="002B2D97" w:rsidRDefault="000647BC" w:rsidP="001A2B31">
      <w:pPr>
        <w:pStyle w:val="Heading3"/>
        <w:jc w:val="both"/>
      </w:pPr>
      <w:r>
        <w:t>2.2 Granularidade e regularidade temporal</w:t>
      </w:r>
    </w:p>
    <w:p w:rsidR="002B2D97" w:rsidRDefault="000647BC" w:rsidP="001A2B31">
      <w:pPr>
        <w:spacing w:after="200" w:line="300" w:lineRule="auto"/>
        <w:jc w:val="both"/>
      </w:pPr>
      <w:r>
        <w:t>Vazão DAEE é uma série de EVENTOS de medição irregulares (não um passo de tempo fixo). Qualidade da água CETESB é anual. Uso do solo MapBiomas é uma classificação ANUAL por definição (um mapa por an</w:t>
      </w:r>
      <w:r>
        <w:t>o). Índices espectrais Landsat dependem da disponibilidade de imagem sem nuvem, então a frequência real de observação varia ano a ano e ponto a ponto. Cada fonte, isoladamente, já tem uma cadência própria antes de qualquer integração.</w:t>
      </w:r>
    </w:p>
    <w:p w:rsidR="002B2D97" w:rsidRDefault="000647BC">
      <w:pPr>
        <w:pStyle w:val="Heading3"/>
      </w:pPr>
      <w:r>
        <w:t>2.3 Cobertura tempora</w:t>
      </w:r>
      <w:r>
        <w:t>l (o período em que a fonte sequer existe)</w:t>
      </w:r>
    </w:p>
    <w:tbl>
      <w:tblPr>
        <w:tblW w:w="9026"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200"/>
        <w:gridCol w:w="5826"/>
      </w:tblGrid>
      <w:tr w:rsidR="002B2D97">
        <w:tblPrEx>
          <w:tblCellMar>
            <w:top w:w="0" w:type="dxa"/>
            <w:bottom w:w="0" w:type="dxa"/>
          </w:tblCellMar>
        </w:tblPrEx>
        <w:trPr>
          <w:tblHeader/>
        </w:trPr>
        <w:tc>
          <w:tcPr>
            <w:tcW w:w="3200" w:type="dxa"/>
            <w:shd w:val="clear" w:color="auto" w:fill="1F4E5F"/>
            <w:tcMar>
              <w:top w:w="100" w:type="dxa"/>
              <w:left w:w="120" w:type="dxa"/>
              <w:bottom w:w="100" w:type="dxa"/>
              <w:right w:w="120" w:type="dxa"/>
            </w:tcMar>
            <w:vAlign w:val="center"/>
          </w:tcPr>
          <w:p w:rsidR="002B2D97" w:rsidRDefault="000647BC">
            <w:r>
              <w:rPr>
                <w:b/>
                <w:bCs/>
                <w:color w:val="FFFFFF"/>
                <w:sz w:val="20"/>
                <w:szCs w:val="20"/>
              </w:rPr>
              <w:t>Fonte</w:t>
            </w:r>
          </w:p>
        </w:tc>
        <w:tc>
          <w:tcPr>
            <w:tcW w:w="5826" w:type="dxa"/>
            <w:shd w:val="clear" w:color="auto" w:fill="1F4E5F"/>
            <w:tcMar>
              <w:top w:w="100" w:type="dxa"/>
              <w:left w:w="120" w:type="dxa"/>
              <w:bottom w:w="100" w:type="dxa"/>
              <w:right w:w="120" w:type="dxa"/>
            </w:tcMar>
            <w:vAlign w:val="center"/>
          </w:tcPr>
          <w:p w:rsidR="002B2D97" w:rsidRDefault="000647BC">
            <w:r>
              <w:rPr>
                <w:b/>
                <w:bCs/>
                <w:color w:val="FFFFFF"/>
                <w:sz w:val="20"/>
                <w:szCs w:val="20"/>
              </w:rPr>
              <w:t>Cobertura temporal real</w:t>
            </w:r>
          </w:p>
        </w:tc>
      </w:tr>
      <w:tr w:rsidR="002B2D97">
        <w:tblPrEx>
          <w:tblCellMar>
            <w:top w:w="0" w:type="dxa"/>
            <w:bottom w:w="0" w:type="dxa"/>
          </w:tblCellMar>
        </w:tblPrEx>
        <w:tc>
          <w:tcPr>
            <w:tcW w:w="3200" w:type="dxa"/>
            <w:shd w:val="clear" w:color="auto" w:fill="FFFFFF"/>
            <w:tcMar>
              <w:top w:w="90" w:type="dxa"/>
              <w:left w:w="120" w:type="dxa"/>
              <w:bottom w:w="90" w:type="dxa"/>
              <w:right w:w="120" w:type="dxa"/>
            </w:tcMar>
            <w:vAlign w:val="center"/>
          </w:tcPr>
          <w:p w:rsidR="002B2D97" w:rsidRDefault="000647BC">
            <w:pPr>
              <w:spacing w:line="260" w:lineRule="auto"/>
            </w:pPr>
            <w:r>
              <w:rPr>
                <w:sz w:val="19"/>
                <w:szCs w:val="19"/>
              </w:rPr>
              <w:t>CETESB (qualidade da água)</w:t>
            </w:r>
          </w:p>
        </w:tc>
        <w:tc>
          <w:tcPr>
            <w:tcW w:w="5826" w:type="dxa"/>
            <w:shd w:val="clear" w:color="auto" w:fill="FFFFFF"/>
            <w:tcMar>
              <w:top w:w="90" w:type="dxa"/>
              <w:left w:w="120" w:type="dxa"/>
              <w:bottom w:w="90" w:type="dxa"/>
              <w:right w:w="120" w:type="dxa"/>
            </w:tcMar>
            <w:vAlign w:val="center"/>
          </w:tcPr>
          <w:p w:rsidR="002B2D97" w:rsidRDefault="000647BC">
            <w:pPr>
              <w:spacing w:line="260" w:lineRule="auto"/>
            </w:pPr>
            <w:r>
              <w:rPr>
                <w:sz w:val="19"/>
                <w:szCs w:val="19"/>
              </w:rPr>
              <w:t>1978-2024</w:t>
            </w:r>
          </w:p>
        </w:tc>
      </w:tr>
      <w:tr w:rsidR="002B2D97">
        <w:tblPrEx>
          <w:tblCellMar>
            <w:top w:w="0" w:type="dxa"/>
            <w:bottom w:w="0" w:type="dxa"/>
          </w:tblCellMar>
        </w:tblPrEx>
        <w:tc>
          <w:tcPr>
            <w:tcW w:w="3200" w:type="dxa"/>
            <w:shd w:val="clear" w:color="auto" w:fill="F2F6F7"/>
            <w:tcMar>
              <w:top w:w="90" w:type="dxa"/>
              <w:left w:w="120" w:type="dxa"/>
              <w:bottom w:w="90" w:type="dxa"/>
              <w:right w:w="120" w:type="dxa"/>
            </w:tcMar>
            <w:vAlign w:val="center"/>
          </w:tcPr>
          <w:p w:rsidR="002B2D97" w:rsidRDefault="000647BC">
            <w:pPr>
              <w:spacing w:line="260" w:lineRule="auto"/>
            </w:pPr>
            <w:r>
              <w:rPr>
                <w:sz w:val="19"/>
                <w:szCs w:val="19"/>
              </w:rPr>
              <w:t>DAEE/ANA (vazão/chuva)</w:t>
            </w:r>
          </w:p>
        </w:tc>
        <w:tc>
          <w:tcPr>
            <w:tcW w:w="5826" w:type="dxa"/>
            <w:shd w:val="clear" w:color="auto" w:fill="F2F6F7"/>
            <w:tcMar>
              <w:top w:w="90" w:type="dxa"/>
              <w:left w:w="120" w:type="dxa"/>
              <w:bottom w:w="90" w:type="dxa"/>
              <w:right w:w="120" w:type="dxa"/>
            </w:tcMar>
            <w:vAlign w:val="center"/>
          </w:tcPr>
          <w:p w:rsidR="002B2D97" w:rsidRDefault="000647BC">
            <w:pPr>
              <w:spacing w:line="260" w:lineRule="auto"/>
            </w:pPr>
            <w:r>
              <w:rPr>
                <w:sz w:val="19"/>
                <w:szCs w:val="19"/>
              </w:rPr>
              <w:t>1940-presente (com lacunas)</w:t>
            </w:r>
          </w:p>
        </w:tc>
      </w:tr>
      <w:tr w:rsidR="002B2D97">
        <w:tblPrEx>
          <w:tblCellMar>
            <w:top w:w="0" w:type="dxa"/>
            <w:bottom w:w="0" w:type="dxa"/>
          </w:tblCellMar>
        </w:tblPrEx>
        <w:tc>
          <w:tcPr>
            <w:tcW w:w="3200" w:type="dxa"/>
            <w:shd w:val="clear" w:color="auto" w:fill="FFFFFF"/>
            <w:tcMar>
              <w:top w:w="90" w:type="dxa"/>
              <w:left w:w="120" w:type="dxa"/>
              <w:bottom w:w="90" w:type="dxa"/>
              <w:right w:w="120" w:type="dxa"/>
            </w:tcMar>
            <w:vAlign w:val="center"/>
          </w:tcPr>
          <w:p w:rsidR="002B2D97" w:rsidRDefault="000647BC">
            <w:pPr>
              <w:spacing w:line="260" w:lineRule="auto"/>
            </w:pPr>
            <w:r>
              <w:rPr>
                <w:sz w:val="19"/>
                <w:szCs w:val="19"/>
              </w:rPr>
              <w:t>MapBiomas (uso do solo)</w:t>
            </w:r>
          </w:p>
        </w:tc>
        <w:tc>
          <w:tcPr>
            <w:tcW w:w="5826" w:type="dxa"/>
            <w:shd w:val="clear" w:color="auto" w:fill="FFFFFF"/>
            <w:tcMar>
              <w:top w:w="90" w:type="dxa"/>
              <w:left w:w="120" w:type="dxa"/>
              <w:bottom w:w="90" w:type="dxa"/>
              <w:right w:w="120" w:type="dxa"/>
            </w:tcMar>
            <w:vAlign w:val="center"/>
          </w:tcPr>
          <w:p w:rsidR="002B2D97" w:rsidRDefault="000647BC">
            <w:pPr>
              <w:spacing w:line="260" w:lineRule="auto"/>
            </w:pPr>
            <w:r>
              <w:rPr>
                <w:sz w:val="19"/>
                <w:szCs w:val="19"/>
              </w:rPr>
              <w:t>1985-2023</w:t>
            </w:r>
          </w:p>
        </w:tc>
      </w:tr>
      <w:tr w:rsidR="002B2D97">
        <w:tblPrEx>
          <w:tblCellMar>
            <w:top w:w="0" w:type="dxa"/>
            <w:bottom w:w="0" w:type="dxa"/>
          </w:tblCellMar>
        </w:tblPrEx>
        <w:tc>
          <w:tcPr>
            <w:tcW w:w="3200" w:type="dxa"/>
            <w:shd w:val="clear" w:color="auto" w:fill="F2F6F7"/>
            <w:tcMar>
              <w:top w:w="90" w:type="dxa"/>
              <w:left w:w="120" w:type="dxa"/>
              <w:bottom w:w="90" w:type="dxa"/>
              <w:right w:w="120" w:type="dxa"/>
            </w:tcMar>
            <w:vAlign w:val="center"/>
          </w:tcPr>
          <w:p w:rsidR="002B2D97" w:rsidRDefault="000647BC">
            <w:pPr>
              <w:spacing w:line="260" w:lineRule="auto"/>
            </w:pPr>
            <w:r>
              <w:rPr>
                <w:sz w:val="19"/>
                <w:szCs w:val="19"/>
              </w:rPr>
              <w:t>Landsat (índices espectrais)</w:t>
            </w:r>
          </w:p>
        </w:tc>
        <w:tc>
          <w:tcPr>
            <w:tcW w:w="5826" w:type="dxa"/>
            <w:shd w:val="clear" w:color="auto" w:fill="F2F6F7"/>
            <w:tcMar>
              <w:top w:w="90" w:type="dxa"/>
              <w:left w:w="120" w:type="dxa"/>
              <w:bottom w:w="90" w:type="dxa"/>
              <w:right w:w="120" w:type="dxa"/>
            </w:tcMar>
            <w:vAlign w:val="center"/>
          </w:tcPr>
          <w:p w:rsidR="002B2D97" w:rsidRDefault="000647BC">
            <w:pPr>
              <w:spacing w:line="260" w:lineRule="auto"/>
            </w:pPr>
            <w:r>
              <w:rPr>
                <w:sz w:val="19"/>
                <w:szCs w:val="19"/>
              </w:rPr>
              <w:t>1984-presente</w:t>
            </w:r>
          </w:p>
        </w:tc>
      </w:tr>
      <w:tr w:rsidR="002B2D97">
        <w:tblPrEx>
          <w:tblCellMar>
            <w:top w:w="0" w:type="dxa"/>
            <w:bottom w:w="0" w:type="dxa"/>
          </w:tblCellMar>
        </w:tblPrEx>
        <w:tc>
          <w:tcPr>
            <w:tcW w:w="3200" w:type="dxa"/>
            <w:shd w:val="clear" w:color="auto" w:fill="FFFFFF"/>
            <w:tcMar>
              <w:top w:w="90" w:type="dxa"/>
              <w:left w:w="120" w:type="dxa"/>
              <w:bottom w:w="90" w:type="dxa"/>
              <w:right w:w="120" w:type="dxa"/>
            </w:tcMar>
            <w:vAlign w:val="center"/>
          </w:tcPr>
          <w:p w:rsidR="002B2D97" w:rsidRDefault="000647BC">
            <w:pPr>
              <w:spacing w:line="260" w:lineRule="auto"/>
            </w:pPr>
            <w:r>
              <w:rPr>
                <w:sz w:val="19"/>
                <w:szCs w:val="19"/>
              </w:rPr>
              <w:t>Sensoriamento ilustrativo</w:t>
            </w:r>
          </w:p>
        </w:tc>
        <w:tc>
          <w:tcPr>
            <w:tcW w:w="5826" w:type="dxa"/>
            <w:shd w:val="clear" w:color="auto" w:fill="FFFFFF"/>
            <w:tcMar>
              <w:top w:w="90" w:type="dxa"/>
              <w:left w:w="120" w:type="dxa"/>
              <w:bottom w:w="90" w:type="dxa"/>
              <w:right w:w="120" w:type="dxa"/>
            </w:tcMar>
            <w:vAlign w:val="center"/>
          </w:tcPr>
          <w:p w:rsidR="002B2D97" w:rsidRDefault="000647BC">
            <w:pPr>
              <w:spacing w:line="260" w:lineRule="auto"/>
            </w:pPr>
            <w:r>
              <w:rPr>
                <w:sz w:val="19"/>
                <w:szCs w:val="19"/>
              </w:rPr>
              <w:t>jan-jun/2026 apenas (14 linhas)</w:t>
            </w:r>
          </w:p>
        </w:tc>
      </w:tr>
    </w:tbl>
    <w:p w:rsidR="002B2D97" w:rsidRDefault="000647BC" w:rsidP="001A2B31">
      <w:pPr>
        <w:spacing w:after="200" w:line="300" w:lineRule="auto"/>
        <w:jc w:val="both"/>
      </w:pPr>
      <w:r>
        <w:t>A sobreposição entre fontes não é garantida — é o primeiro teste que qualquer candidata a integração precisa passar (ver Seções 4 e 5).</w:t>
      </w:r>
    </w:p>
    <w:p w:rsidR="002B2D97" w:rsidRDefault="000647BC" w:rsidP="001A2B31">
      <w:pPr>
        <w:pStyle w:val="Heading3"/>
        <w:jc w:val="both"/>
      </w:pPr>
      <w:r>
        <w:t>2.4 Confiabilidade e proveniência</w:t>
      </w:r>
    </w:p>
    <w:p w:rsidR="002B2D97" w:rsidRDefault="000647BC" w:rsidP="001A2B31">
      <w:pPr>
        <w:spacing w:after="200" w:line="300" w:lineRule="auto"/>
        <w:jc w:val="both"/>
      </w:pPr>
      <w:r>
        <w:t xml:space="preserve">Nem toda linha do pipeline </w:t>
      </w:r>
      <w:r>
        <w:t>tem o mesmo grau de confiança: medição real de campo, classificação de satélite validada por décadas de literatura (MapBiomas), índice espectral nunca calibrado contra o Tietê especificamente (NDTI de turbidez), e planilha explicitamente ilustrativa/demons</w:t>
      </w:r>
      <w:r>
        <w:t>trativa — são quatro níveis de confiabilidade diferentes que precisam permanecer DISTINGUÍVEIS depois da integração, não apagados por uma média silenciosa.</w:t>
      </w:r>
    </w:p>
    <w:p w:rsidR="002B2D97" w:rsidRDefault="000647BC" w:rsidP="001A2B31">
      <w:pPr>
        <w:pStyle w:val="Heading3"/>
        <w:jc w:val="both"/>
      </w:pPr>
      <w:r>
        <w:t>2.5 Semântica e unidade</w:t>
      </w:r>
    </w:p>
    <w:p w:rsidR="002B2D97" w:rsidRDefault="000647BC" w:rsidP="001A2B31">
      <w:pPr>
        <w:spacing w:after="200" w:line="300" w:lineRule="auto"/>
        <w:jc w:val="both"/>
      </w:pPr>
      <w:r>
        <w:t>A mesma palavra pode significar grandezas diferentes entre fontes: "turbidez</w:t>
      </w:r>
      <w:r>
        <w:t xml:space="preserve">" na planilha ilustrativa é um valor em NTU (a unidade real de turbidez); "turbidez" no conector Landsat é, na verdade, o NDTI — um índice espectral adimensional CORRELACIONADO com sedimento em suspensão, não uma medição de turbidez em </w:t>
      </w:r>
      <w:r>
        <w:lastRenderedPageBreak/>
        <w:t>si. Tratar as duas c</w:t>
      </w:r>
      <w:r>
        <w:t>omo a mesma coluna seria um erro de integração silencioso — por isso o pipeline usa nomes de coluna deliberadamente diferentes para as duas (ver Seção 5).</w:t>
      </w:r>
    </w:p>
    <w:p w:rsidR="002B2D97" w:rsidRDefault="000647BC" w:rsidP="001A2B31">
      <w:pPr>
        <w:jc w:val="both"/>
      </w:pPr>
      <w:r>
        <w:br w:type="page"/>
      </w:r>
    </w:p>
    <w:p w:rsidR="002B2D97" w:rsidRDefault="000647BC">
      <w:pPr>
        <w:pStyle w:val="Heading1"/>
      </w:pPr>
      <w:r>
        <w:lastRenderedPageBreak/>
        <w:t>3. A estratégia: harmonizar por camadas até um denominador comum</w:t>
      </w:r>
    </w:p>
    <w:p w:rsidR="002B2D97" w:rsidRDefault="000647BC">
      <w:pPr>
        <w:spacing w:after="200" w:line="300" w:lineRule="auto"/>
      </w:pPr>
      <w:r>
        <w:t>O pipeline resolve as cinco dimens</w:t>
      </w:r>
      <w:r>
        <w:t>ões da Seção 2 progressivamente, camada por camada (arquitetura medallion, ver relatório de Arquitetura do Pipeline de Dados) — nenhuma tentativa de integração acontece de uma vez só.</w:t>
      </w:r>
    </w:p>
    <w:p w:rsidR="002B2D97" w:rsidRDefault="000647BC">
      <w:pPr>
        <w:pStyle w:val="Heading3"/>
      </w:pPr>
      <w:r>
        <w:t>3.1 Bronze — cada fonte entra com sua própria granularidade, mas já rast</w:t>
      </w:r>
      <w:r>
        <w:t>reável</w:t>
      </w:r>
    </w:p>
    <w:p w:rsidR="002B2D97" w:rsidRDefault="000647BC">
      <w:pPr>
        <w:spacing w:after="200" w:line="300" w:lineRule="auto"/>
      </w:pPr>
      <w:r>
        <w:t>Nenhuma harmonização espacial/temporal acontece ainda. Cada fonte é lida no formato mais próximo do original (ingestion/bronze_uso_solo.py, ingestion/bronze_sensoriamento.py, ingestion/bronze_sensoriamento_historico.py, entre outros) — o único traba</w:t>
      </w:r>
      <w:r>
        <w:t>lho aqui é dar nomes de coluna estáveis e anexar as três colunas de proveniência (_ingested_at, _source_file, _fonte_tipo) que resolvem, desde já, a dimensão 2.4 (confiabilidade): toda linha nasce marcada como "observado" ou "simulado", nunca ambígua.</w:t>
      </w:r>
    </w:p>
    <w:p w:rsidR="002B2D97" w:rsidRDefault="000647BC">
      <w:pPr>
        <w:pStyle w:val="Heading3"/>
      </w:pPr>
      <w:r>
        <w:t xml:space="preserve">3.2 </w:t>
      </w:r>
      <w:r>
        <w:t>Silver — harmonização espacial e semântica</w:t>
      </w:r>
    </w:p>
    <w:p w:rsidR="002B2D97" w:rsidRDefault="000647BC" w:rsidP="001A2B31">
      <w:pPr>
        <w:spacing w:after="200" w:line="300" w:lineRule="auto"/>
        <w:jc w:val="both"/>
      </w:pPr>
      <w:r>
        <w:t>É aqui que a dimensão 2.1 (espaço) é resolvida: transform/silver_sensoriamento.py mapeia cada um dos 7 pontos de amostragem (TIE-01 a TIE-07) para um dos três trechos, com base na geografia real do local (TIE-01/02/03 em Salesópolis/Mogi das Cruzes/Guapira</w:t>
      </w:r>
      <w:r>
        <w:t xml:space="preserve"> → Alto Tietê; TIE-04/05 nos reservatórios de Barra Bonita/Promissão → Médio Tietê; TIE-06/07 em Nova Avanhandava/Itapura → Baixo Tietê). transform/silver_uso_solo.py faz o mesmo para o uso do solo, além de converter área bruta em percentual por macrocateg</w:t>
      </w:r>
      <w:r>
        <w:t>oria (a forma que efetivamente entra como preditora). A dimensão 2.5 (semântica) também é resolvida aqui: a coluna do índice espectral de turbidez do Landsat recebe um nome de coluna PRÓPRIO (turbidez_proxy_ndti_sensoriamento), deliberadamente diferente da</w:t>
      </w:r>
      <w:r>
        <w:t xml:space="preserve"> turbidez_ntu real, para as duas nunca serem confundidas nem somadas por engano.</w:t>
      </w:r>
    </w:p>
    <w:p w:rsidR="002B2D97" w:rsidRDefault="000647BC" w:rsidP="001A2B31">
      <w:pPr>
        <w:pStyle w:val="Heading3"/>
        <w:jc w:val="both"/>
      </w:pPr>
      <w:r>
        <w:t>3.3 Gold — o denominador comum: trecho × ano</w:t>
      </w:r>
    </w:p>
    <w:p w:rsidR="002B2D97" w:rsidRDefault="000647BC" w:rsidP="001A2B31">
      <w:pPr>
        <w:spacing w:after="200" w:line="300" w:lineRule="auto"/>
        <w:jc w:val="both"/>
      </w:pPr>
      <w:r>
        <w:t>A dimensão 2.2 (granularidade temporal) é resolvida na agregação final: toda fonte candidata a integração é reduzida à MESMA unida</w:t>
      </w:r>
      <w:r>
        <w:t>de de análise — uma linha por (trecho, ano). Vazão/chuva mensais são agregadas por média anual; uso do solo (já anual na fonte) só precisa ser re-chaveado por trecho; qualidade da água já nasce anual. Só depois que TODAS as fontes estão na mesma granularid</w:t>
      </w:r>
      <w:r>
        <w:t>ade (trecho × ano) é que uma junção (merge) tem sentido — sem isso, juntar uma série mensal de vazão com uma classificação anual de uso do solo produziria uma tabela tecnicamente unida, mas semanticamente incoerente (o percentual de uso do solo repetido em</w:t>
      </w:r>
      <w:r>
        <w:t xml:space="preserve"> 12 meses do ano insinuaria uma precisão mensal que a fonte não tem).</w:t>
      </w:r>
    </w:p>
    <w:p w:rsidR="002B2D97" w:rsidRDefault="000647BC">
      <w:r>
        <w:br w:type="page"/>
      </w:r>
    </w:p>
    <w:p w:rsidR="002B2D97" w:rsidRDefault="000647BC">
      <w:pPr>
        <w:pStyle w:val="Heading1"/>
      </w:pPr>
      <w:r>
        <w:lastRenderedPageBreak/>
        <w:t>4. Caso 1: uso do solo (MapBiomas) — a integração que chegou ao modelo</w:t>
      </w:r>
    </w:p>
    <w:p w:rsidR="002B2D97" w:rsidRDefault="000647BC" w:rsidP="001A2B31">
      <w:pPr>
        <w:spacing w:after="200" w:line="300" w:lineRule="auto"/>
        <w:jc w:val="both"/>
      </w:pPr>
      <w:r>
        <w:t xml:space="preserve">transform/gold_features.build_feature_store_ml_anual junta quatro fontes por (trecho_id, ano): qualidade da água </w:t>
      </w:r>
      <w:r>
        <w:t>(CETESB real, com fallback simulado), vazão anual, chuva anual, e uso do solo (MapBiomas real, silver.uso_solo) — e é este último, de sensoriamento remoto, o foco desta seção.</w:t>
      </w:r>
    </w:p>
    <w:tbl>
      <w:tblPr>
        <w:tblW w:w="5000" w:type="pct"/>
        <w:tblBorders>
          <w:top w:val="single" w:sz="4" w:space="0" w:color="2E7D32"/>
          <w:left w:val="single" w:sz="16" w:space="0" w:color="2E7D32"/>
          <w:bottom w:val="single" w:sz="4" w:space="0" w:color="2E7D32"/>
          <w:right w:val="single" w:sz="4"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3"/>
      </w:tblGrid>
      <w:tr w:rsidR="002B2D97">
        <w:tblPrEx>
          <w:tblCellMar>
            <w:top w:w="0" w:type="dxa"/>
            <w:bottom w:w="0" w:type="dxa"/>
          </w:tblCellMar>
        </w:tblPrEx>
        <w:tc>
          <w:tcPr>
            <w:tcW w:w="0" w:type="auto"/>
            <w:shd w:val="clear" w:color="auto" w:fill="F5F5F5"/>
            <w:tcMar>
              <w:top w:w="160" w:type="dxa"/>
              <w:left w:w="200" w:type="dxa"/>
              <w:bottom w:w="160" w:type="dxa"/>
              <w:right w:w="200" w:type="dxa"/>
            </w:tcMar>
          </w:tcPr>
          <w:p w:rsidR="002B2D97" w:rsidRDefault="000647BC">
            <w:pPr>
              <w:spacing w:after="100"/>
            </w:pPr>
            <w:r>
              <w:rPr>
                <w:b/>
                <w:bCs/>
                <w:color w:val="2E7D32"/>
              </w:rPr>
              <w:t>Por que esta integração foi viável</w:t>
            </w:r>
          </w:p>
          <w:p w:rsidR="002B2D97" w:rsidRDefault="000647BC" w:rsidP="001A2B31">
            <w:pPr>
              <w:spacing w:after="200" w:line="300" w:lineRule="auto"/>
              <w:jc w:val="both"/>
            </w:pPr>
            <w:r>
              <w:t>A condição decisiva foi a SOBREPOSIÇÃO TEMPOR</w:t>
            </w:r>
            <w:r>
              <w:t xml:space="preserve">AL REAL: MapBiomas cobre 1985-2023, a série de qualidade da água real (CETESB) cobre 1978-2024 — 39 anos em comum. Isso significa que, para a maior parte do histórico usado no treino de ML, existe ao mesmo tempo uma medição real de qualidade da água E uma </w:t>
            </w:r>
            <w:r>
              <w:t>classificação real de uso do solo para o mesmo trecho e ano — a integração produz sinal genuíno, não uma tabela cheia de valores ausentes disfarçados de dado completo.</w:t>
            </w:r>
          </w:p>
        </w:tc>
      </w:tr>
    </w:tbl>
    <w:p w:rsidR="002B2D97" w:rsidRDefault="000647BC" w:rsidP="001A2B31">
      <w:pPr>
        <w:spacing w:after="200" w:line="300" w:lineRule="auto"/>
        <w:jc w:val="both"/>
      </w:pPr>
      <w:r>
        <w:t>Duas técnicas resolvem as lacunas residuais nas BORDAS dessa sobreposição (antes de 198</w:t>
      </w:r>
      <w:r>
        <w:t>5 e depois de 2023, ver Seção 2.3):</w:t>
      </w:r>
    </w:p>
    <w:p w:rsidR="002B2D97" w:rsidRDefault="000647BC" w:rsidP="001A2B31">
      <w:pPr>
        <w:pStyle w:val="ListParagraph"/>
        <w:numPr>
          <w:ilvl w:val="0"/>
          <w:numId w:val="1"/>
        </w:numPr>
        <w:spacing w:after="120" w:line="280" w:lineRule="auto"/>
        <w:jc w:val="both"/>
      </w:pPr>
      <w:r>
        <w:rPr>
          <w:b/>
          <w:bCs/>
        </w:rPr>
        <w:t xml:space="preserve">Preenchimento limitado em ambas as direções (ffill + bfill), até 10 anos: </w:t>
      </w:r>
      <w:r>
        <w:t>diferente de vazão/chuva (que variam mês a mês e justificam um limite mais curto, 2 anos), uso do solo muda devagar ano a ano — não existe "seca d</w:t>
      </w:r>
      <w:r>
        <w:t>e uso do solo" — então um limite maior é defensável, mas ainda LIMITADO, para não estender silenciosamente a distribuição de 1985 até 1940 se a lacuna real de um trecho for maior que o esperado.</w:t>
      </w:r>
    </w:p>
    <w:p w:rsidR="002B2D97" w:rsidRDefault="000647BC" w:rsidP="001A2B31">
      <w:pPr>
        <w:pStyle w:val="ListParagraph"/>
        <w:numPr>
          <w:ilvl w:val="0"/>
          <w:numId w:val="1"/>
        </w:numPr>
        <w:spacing w:after="120" w:line="280" w:lineRule="auto"/>
        <w:jc w:val="both"/>
      </w:pPr>
      <w:r>
        <w:rPr>
          <w:b/>
          <w:bCs/>
        </w:rPr>
        <w:t xml:space="preserve">Coluna de rastreamento da imputação: </w:t>
      </w:r>
      <w:r>
        <w:t xml:space="preserve">pct_natural_imputado (e </w:t>
      </w:r>
      <w:r>
        <w:t>equivalentes para as outras 3 categorias) marca linha a linha se aquele valor é medição MapBiomas real ou preenchimento — a mesma disciplina de transparência aplicada a vazão/chuva.</w:t>
      </w:r>
    </w:p>
    <w:p w:rsidR="002B2D97" w:rsidRDefault="000647BC" w:rsidP="001A2B31">
      <w:pPr>
        <w:spacing w:after="200" w:line="300" w:lineRule="auto"/>
        <w:jc w:val="both"/>
      </w:pPr>
      <w:r>
        <w:t>Resultado: 4 colunas (pct_natural, pct_agropecuaria, pct_urbano_industrial</w:t>
      </w:r>
      <w:r>
        <w:t xml:space="preserve">, pct_agua) entram como preditoras reais do RandomForestRegressor (ver models/ml/features.py) — a integração de sensoriamento remoto que chegou até o modelo estatístico, fechando exatamente a lacuna que a pesquisa de pós-doutorado identificou (uso do solo </w:t>
      </w:r>
      <w:r>
        <w:t>como driver mensurável da qualidade da água).</w:t>
      </w:r>
    </w:p>
    <w:p w:rsidR="002B2D97" w:rsidRDefault="000647BC">
      <w:r>
        <w:br w:type="page"/>
      </w:r>
    </w:p>
    <w:p w:rsidR="002B2D97" w:rsidRDefault="000647BC">
      <w:pPr>
        <w:pStyle w:val="Heading1"/>
      </w:pPr>
      <w:r>
        <w:lastRenderedPageBreak/>
        <w:t>5. Caso 2: sensoriamento espectral (Landsat) — integração pronta, mas contida por decisão</w:t>
      </w:r>
    </w:p>
    <w:p w:rsidR="002B2D97" w:rsidRDefault="000647BC" w:rsidP="001A2B31">
      <w:pPr>
        <w:spacing w:after="200" w:line="300" w:lineRule="auto"/>
        <w:jc w:val="both"/>
      </w:pPr>
      <w:r>
        <w:t>NDVI, temperatura de superfície e o proxy de turbidez (NDTI) têm todo o caminho de integração construído — conector real, harmonização espacial (Seção 3.2), agregação em gold.sensoriamento_trecho_ano (transform/gold_features.build_indicadores_sensoriamento</w:t>
      </w:r>
      <w:r>
        <w:t>_anual) — mas essa tabela permanece FORA do feature store de ML. É a distinção mais importante deste relatório: existir tecnicamente e estar integrado ao ponto de uso analítico não são a mesma coisa.</w:t>
      </w:r>
    </w:p>
    <w:p w:rsidR="002B2D97" w:rsidRDefault="000647BC" w:rsidP="001A2B31">
      <w:pPr>
        <w:pStyle w:val="Heading2"/>
        <w:jc w:val="both"/>
      </w:pPr>
      <w:r>
        <w:t>5.1 O mecanismo de fusão real-com-fallback</w:t>
      </w:r>
    </w:p>
    <w:p w:rsidR="002B2D97" w:rsidRDefault="000647BC" w:rsidP="001A2B31">
      <w:pPr>
        <w:spacing w:after="200" w:line="300" w:lineRule="auto"/>
        <w:jc w:val="both"/>
      </w:pPr>
      <w:r>
        <w:t>Antes de disc</w:t>
      </w:r>
      <w:r>
        <w:t>utir por que a integração ao ML não avançou, vale mostrar o mecanismo que RESOLVE a dimensão 2.4 (confiabilidade) para esta fonte especificamente: sensoriamento_real_com_fallback_ilustrativo combina silver.sensoriamento_historico (Landsat real, 1984-presen</w:t>
      </w:r>
      <w:r>
        <w:t xml:space="preserve">te) com silver.sensoriamento (planilha ilustrativa, 2026) por (ponto, ano, parâmetro) — o dado real tem SEMPRE prioridade; a planilha ilustrativa só preenche onde não existe imagem Landsat processada (hoje, sobretudo o ano corrente). Essa é a mesma lógica </w:t>
      </w:r>
      <w:r>
        <w:t>de prioridade real-sobre-simulado já usada para qualidade da água (qualidade_real_com_fallback_simulado) — um padrão consistente em todo o pipeline, não uma solução ad-hoc para este caso.</w:t>
      </w:r>
    </w:p>
    <w:p w:rsidR="002B2D97" w:rsidRDefault="000647BC" w:rsidP="001A2B31">
      <w:pPr>
        <w:spacing w:after="200" w:line="300" w:lineRule="auto"/>
        <w:jc w:val="both"/>
      </w:pPr>
      <w:r>
        <w:t>A tabela resultante (gold.sensoriamento_trecho_ano) inclui uma colun</w:t>
      </w:r>
      <w:r>
        <w:t>a sensoriamento_fonte_tipo calculada como "observado" só quando TODAS as observações daquele (trecho, ano) vieram do Landsat real, ou "misto" quando há mistura — resolução mais granular que o simples observado/simulado usado no resto do pipeline, porque aq</w:t>
      </w:r>
      <w:r>
        <w:t>ui a mistura acontece dentro do mesmo trecho-ano, não entre trechos-anos inteiros.</w:t>
      </w:r>
    </w:p>
    <w:p w:rsidR="002B2D97" w:rsidRDefault="000647BC">
      <w:pPr>
        <w:pStyle w:val="Heading2"/>
      </w:pPr>
      <w:r>
        <w:t>5.2 Por que a integração NÃO avança até o modelo de ML</w:t>
      </w:r>
    </w:p>
    <w:tbl>
      <w:tblPr>
        <w:tblW w:w="5000" w:type="pct"/>
        <w:tblBorders>
          <w:top w:val="single" w:sz="4" w:space="0" w:color="B9770E"/>
          <w:left w:val="single" w:sz="16" w:space="0" w:color="B9770E"/>
          <w:bottom w:val="single" w:sz="4" w:space="0" w:color="B9770E"/>
          <w:right w:val="single" w:sz="4" w:space="0" w:color="B9770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3"/>
      </w:tblGrid>
      <w:tr w:rsidR="002B2D97">
        <w:tblPrEx>
          <w:tblCellMar>
            <w:top w:w="0" w:type="dxa"/>
            <w:bottom w:w="0" w:type="dxa"/>
          </w:tblCellMar>
        </w:tblPrEx>
        <w:tc>
          <w:tcPr>
            <w:tcW w:w="0" w:type="auto"/>
            <w:shd w:val="clear" w:color="auto" w:fill="F5F5F5"/>
            <w:tcMar>
              <w:top w:w="160" w:type="dxa"/>
              <w:left w:w="200" w:type="dxa"/>
              <w:bottom w:w="160" w:type="dxa"/>
              <w:right w:w="200" w:type="dxa"/>
            </w:tcMar>
          </w:tcPr>
          <w:p w:rsidR="002B2D97" w:rsidRDefault="000647BC">
            <w:pPr>
              <w:spacing w:after="100"/>
            </w:pPr>
            <w:r>
              <w:rPr>
                <w:b/>
                <w:bCs/>
                <w:color w:val="B9770E"/>
              </w:rPr>
              <w:t>A decisão, e o motivo técnico exato</w:t>
            </w:r>
          </w:p>
          <w:p w:rsidR="002B2D97" w:rsidRDefault="000647BC" w:rsidP="001A2B31">
            <w:pPr>
              <w:spacing w:after="200" w:line="300" w:lineRule="auto"/>
              <w:jc w:val="both"/>
            </w:pPr>
            <w:r>
              <w:t>Sobreposição temporal JÁ EXISTE (Landsat cobre 1984-presente, CETESB cobre 1978-20</w:t>
            </w:r>
            <w:r>
              <w:t>24 — 39+ anos em comum, ver Seção 2.3) — diferente do caso da planilha ilustrativa isolada (sem nenhum ano em comum), que foi o motivo original de manter esta tabela separada. O motivo atual é outro: os índices espectrais (NDVI, e principalmente o NDTI/pro</w:t>
            </w:r>
            <w:r>
              <w:t xml:space="preserve">xy de turbidez) NUNCA FORAM CALIBRADOS contra medição in situ do Tietê especificamente — não existe, no projeto, um par (imagem de satélite, medição de turbidez em NTU no mesmo dia/local) que permita ajustar uma regressão de calibração. Usar um índice não </w:t>
            </w:r>
            <w:r>
              <w:t>calibrado como preditora de ML arriscaria repetir o mesmo erro que a auditoria de ML já identificou e corrigiu para a vazão do Baixo Tietê: ruído estrutural disfarçado de sinal (ver relatório de Machine Learning, Seção 4.3).</w:t>
            </w:r>
          </w:p>
        </w:tc>
      </w:tr>
    </w:tbl>
    <w:p w:rsidR="002B2D97" w:rsidRDefault="000647BC" w:rsidP="001A2B31">
      <w:pPr>
        <w:spacing w:after="200" w:line="300" w:lineRule="auto"/>
        <w:jc w:val="both"/>
      </w:pPr>
      <w:r>
        <w:t>Há também um risco técnico dir</w:t>
      </w:r>
      <w:r>
        <w:t>eto, documentado no próprio código (transform/gold_features.py, RESSALVA): um merge ingênuo desta tabela com o feature store de ML, hoje, produziria colunas de sensoriamento 100% nulas para praticamente todo o histórico de treino — e a rotina que monta a m</w:t>
      </w:r>
      <w:r>
        <w:t xml:space="preserve">atriz de features (montar_matriz_features_anual*) descarta a linha INTEIRA se qualquer preditora estiver nula. Nesse cenário, integrar sensoriamento remoto ao ML da forma mais óbvia (um merge direto) destruiria o conjunto </w:t>
      </w:r>
      <w:r>
        <w:lastRenderedPageBreak/>
        <w:t>de treino inteiro — o mesmo tipo d</w:t>
      </w:r>
      <w:r>
        <w:t>e erro que o item 6 da auditoria de ML já corrigiu para vazão/chuva, evitado aqui de forma preventiva.</w:t>
      </w:r>
    </w:p>
    <w:p w:rsidR="002B2D97" w:rsidRDefault="000647BC" w:rsidP="001A2B31">
      <w:pPr>
        <w:jc w:val="both"/>
      </w:pPr>
      <w:r>
        <w:br w:type="page"/>
      </w:r>
    </w:p>
    <w:p w:rsidR="002B2D97" w:rsidRDefault="000647BC">
      <w:pPr>
        <w:pStyle w:val="Heading1"/>
      </w:pPr>
      <w:r>
        <w:lastRenderedPageBreak/>
        <w:t>6. O mecanismo transversal: fonte_tipo como "passaporte de proveniência"</w:t>
      </w:r>
    </w:p>
    <w:p w:rsidR="002B2D97" w:rsidRDefault="000647BC" w:rsidP="001A2B31">
      <w:pPr>
        <w:spacing w:after="200" w:line="300" w:lineRule="auto"/>
        <w:jc w:val="both"/>
      </w:pPr>
      <w:r>
        <w:t xml:space="preserve">Uma única coluna atravessa toda fonte candidata a integração — Bronze, Silver </w:t>
      </w:r>
      <w:r>
        <w:t>e Gold — e é o que torna a heterogeneidade de confiabilidade (Seção 2.4) GERENCIÁVEL em vez de escondida: fonte_tipo, com valor "observado" ou "simulado" (e a variante "misto" para o caso granular do sensoriamento, Seção 5.1).</w:t>
      </w:r>
    </w:p>
    <w:tbl>
      <w:tblPr>
        <w:tblW w:w="9026"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4704"/>
        <w:gridCol w:w="4322"/>
      </w:tblGrid>
      <w:tr w:rsidR="002B2D97">
        <w:tblPrEx>
          <w:tblCellMar>
            <w:top w:w="0" w:type="dxa"/>
            <w:bottom w:w="0" w:type="dxa"/>
          </w:tblCellMar>
        </w:tblPrEx>
        <w:trPr>
          <w:tblHeader/>
        </w:trPr>
        <w:tc>
          <w:tcPr>
            <w:tcW w:w="4600" w:type="dxa"/>
            <w:shd w:val="clear" w:color="auto" w:fill="1F4E5F"/>
            <w:tcMar>
              <w:top w:w="100" w:type="dxa"/>
              <w:left w:w="120" w:type="dxa"/>
              <w:bottom w:w="100" w:type="dxa"/>
              <w:right w:w="120" w:type="dxa"/>
            </w:tcMar>
            <w:vAlign w:val="center"/>
          </w:tcPr>
          <w:p w:rsidR="002B2D97" w:rsidRDefault="000647BC">
            <w:r>
              <w:rPr>
                <w:b/>
                <w:bCs/>
                <w:color w:val="FFFFFF"/>
                <w:sz w:val="20"/>
                <w:szCs w:val="20"/>
              </w:rPr>
              <w:t>Onde fonte_tipo nasce</w:t>
            </w:r>
          </w:p>
        </w:tc>
        <w:tc>
          <w:tcPr>
            <w:tcW w:w="4226" w:type="dxa"/>
            <w:shd w:val="clear" w:color="auto" w:fill="1F4E5F"/>
            <w:tcMar>
              <w:top w:w="100" w:type="dxa"/>
              <w:left w:w="120" w:type="dxa"/>
              <w:bottom w:w="100" w:type="dxa"/>
              <w:right w:w="120" w:type="dxa"/>
            </w:tcMar>
            <w:vAlign w:val="center"/>
          </w:tcPr>
          <w:p w:rsidR="002B2D97" w:rsidRDefault="000647BC">
            <w:r>
              <w:rPr>
                <w:b/>
                <w:bCs/>
                <w:color w:val="FFFFFF"/>
                <w:sz w:val="20"/>
                <w:szCs w:val="20"/>
              </w:rPr>
              <w:t>Onde é usada depois</w:t>
            </w:r>
          </w:p>
        </w:tc>
      </w:tr>
      <w:tr w:rsidR="002B2D97">
        <w:tblPrEx>
          <w:tblCellMar>
            <w:top w:w="0" w:type="dxa"/>
            <w:bottom w:w="0" w:type="dxa"/>
          </w:tblCellMar>
        </w:tblPrEx>
        <w:tc>
          <w:tcPr>
            <w:tcW w:w="4600" w:type="dxa"/>
            <w:shd w:val="clear" w:color="auto" w:fill="FFFFFF"/>
            <w:tcMar>
              <w:top w:w="90" w:type="dxa"/>
              <w:left w:w="120" w:type="dxa"/>
              <w:bottom w:w="90" w:type="dxa"/>
              <w:right w:w="120" w:type="dxa"/>
            </w:tcMar>
            <w:vAlign w:val="center"/>
          </w:tcPr>
          <w:p w:rsidR="002B2D97" w:rsidRDefault="000647BC">
            <w:pPr>
              <w:spacing w:line="260" w:lineRule="auto"/>
            </w:pPr>
            <w:r>
              <w:rPr>
                <w:sz w:val="19"/>
                <w:szCs w:val="19"/>
              </w:rPr>
              <w:t>ingestion/_daee_common.linhas_de_proveniencia e equivalentes — anexada em toda tabela Bronze</w:t>
            </w:r>
          </w:p>
        </w:tc>
        <w:tc>
          <w:tcPr>
            <w:tcW w:w="4226" w:type="dxa"/>
            <w:shd w:val="clear" w:color="auto" w:fill="FFFFFF"/>
            <w:tcMar>
              <w:top w:w="90" w:type="dxa"/>
              <w:left w:w="120" w:type="dxa"/>
              <w:bottom w:w="90" w:type="dxa"/>
              <w:right w:w="120" w:type="dxa"/>
            </w:tcMar>
            <w:vAlign w:val="center"/>
          </w:tcPr>
          <w:p w:rsidR="002B2D97" w:rsidRDefault="000647BC">
            <w:pPr>
              <w:spacing w:line="260" w:lineRule="auto"/>
            </w:pPr>
            <w:r>
              <w:rPr>
                <w:sz w:val="19"/>
                <w:szCs w:val="19"/>
              </w:rPr>
              <w:t>Propagada sem alteração por toda transformação Silver/Gold</w:t>
            </w:r>
          </w:p>
        </w:tc>
      </w:tr>
      <w:tr w:rsidR="002B2D97">
        <w:tblPrEx>
          <w:tblCellMar>
            <w:top w:w="0" w:type="dxa"/>
            <w:bottom w:w="0" w:type="dxa"/>
          </w:tblCellMar>
        </w:tblPrEx>
        <w:tc>
          <w:tcPr>
            <w:tcW w:w="4600" w:type="dxa"/>
            <w:shd w:val="clear" w:color="auto" w:fill="F2F6F7"/>
            <w:tcMar>
              <w:top w:w="90" w:type="dxa"/>
              <w:left w:w="120" w:type="dxa"/>
              <w:bottom w:w="90" w:type="dxa"/>
              <w:right w:w="120" w:type="dxa"/>
            </w:tcMar>
            <w:vAlign w:val="center"/>
          </w:tcPr>
          <w:p w:rsidR="002B2D97" w:rsidRDefault="000647BC">
            <w:pPr>
              <w:spacing w:line="260" w:lineRule="auto"/>
            </w:pPr>
            <w:r>
              <w:rPr>
                <w:sz w:val="19"/>
                <w:szCs w:val="19"/>
              </w:rPr>
              <w:t>qualidade_real_com_fallback_simulado — decide qual fonte prioriza por (trecho, ano)</w:t>
            </w:r>
          </w:p>
        </w:tc>
        <w:tc>
          <w:tcPr>
            <w:tcW w:w="4226" w:type="dxa"/>
            <w:shd w:val="clear" w:color="auto" w:fill="F2F6F7"/>
            <w:tcMar>
              <w:top w:w="90" w:type="dxa"/>
              <w:left w:w="120" w:type="dxa"/>
              <w:bottom w:w="90" w:type="dxa"/>
              <w:right w:w="120" w:type="dxa"/>
            </w:tcMar>
            <w:vAlign w:val="center"/>
          </w:tcPr>
          <w:p w:rsidR="002B2D97" w:rsidRDefault="000647BC">
            <w:pPr>
              <w:spacing w:line="260" w:lineRule="auto"/>
            </w:pPr>
            <w:r>
              <w:rPr>
                <w:sz w:val="19"/>
                <w:szCs w:val="19"/>
              </w:rPr>
              <w:t>models/ml/train.py restringe o treino a fonte_tipo == "observado" por padrão</w:t>
            </w:r>
          </w:p>
        </w:tc>
      </w:tr>
      <w:tr w:rsidR="002B2D97">
        <w:tblPrEx>
          <w:tblCellMar>
            <w:top w:w="0" w:type="dxa"/>
            <w:bottom w:w="0" w:type="dxa"/>
          </w:tblCellMar>
        </w:tblPrEx>
        <w:tc>
          <w:tcPr>
            <w:tcW w:w="4600" w:type="dxa"/>
            <w:shd w:val="clear" w:color="auto" w:fill="FFFFFF"/>
            <w:tcMar>
              <w:top w:w="90" w:type="dxa"/>
              <w:left w:w="120" w:type="dxa"/>
              <w:bottom w:w="90" w:type="dxa"/>
              <w:right w:w="120" w:type="dxa"/>
            </w:tcMar>
            <w:vAlign w:val="center"/>
          </w:tcPr>
          <w:p w:rsidR="002B2D97" w:rsidRDefault="000647BC">
            <w:pPr>
              <w:spacing w:line="260" w:lineRule="auto"/>
            </w:pPr>
            <w:r>
              <w:rPr>
                <w:sz w:val="19"/>
                <w:szCs w:val="19"/>
              </w:rPr>
              <w:t>sensoriamento_real_com_fallback_ilustrativo — decide qual fonte prioriza por (ponto, ano, parâmetro)</w:t>
            </w:r>
          </w:p>
        </w:tc>
        <w:tc>
          <w:tcPr>
            <w:tcW w:w="4226" w:type="dxa"/>
            <w:shd w:val="clear" w:color="auto" w:fill="FFFFFF"/>
            <w:tcMar>
              <w:top w:w="90" w:type="dxa"/>
              <w:left w:w="120" w:type="dxa"/>
              <w:bottom w:w="90" w:type="dxa"/>
              <w:right w:w="120" w:type="dxa"/>
            </w:tcMar>
            <w:vAlign w:val="center"/>
          </w:tcPr>
          <w:p w:rsidR="002B2D97" w:rsidRDefault="000647BC">
            <w:pPr>
              <w:spacing w:line="260" w:lineRule="auto"/>
            </w:pPr>
            <w:r>
              <w:rPr>
                <w:sz w:val="19"/>
                <w:szCs w:val="19"/>
              </w:rPr>
              <w:t>webapp (Mapa Interativo) distingue visualmente medição real de preenchimento</w:t>
            </w:r>
          </w:p>
        </w:tc>
      </w:tr>
    </w:tbl>
    <w:p w:rsidR="002B2D97" w:rsidRDefault="000647BC" w:rsidP="001A2B31">
      <w:pPr>
        <w:spacing w:after="200" w:line="300" w:lineRule="auto"/>
        <w:jc w:val="both"/>
      </w:pPr>
      <w:r>
        <w:t xml:space="preserve">Sem essa coluna, uma "base analítica coerente" seria apenas uma tabela ampla </w:t>
      </w:r>
      <w:r>
        <w:t>sem distinção interna — tecnicamente unida, mas sem permitir que quem a consome (um modelo de ML, um pesquisador, um stakeholder no dashboard) saiba quais linhas refletem medição real e quais são preenchimento. É esse rastro, mantido intacto do início ao f</w:t>
      </w:r>
      <w:r>
        <w:t>im do pipeline, que qualifica a integração como "coerente", não apenas "concatenada".</w:t>
      </w:r>
    </w:p>
    <w:p w:rsidR="002B2D97" w:rsidRDefault="000647BC">
      <w:pPr>
        <w:pStyle w:val="Heading1"/>
      </w:pPr>
      <w:r>
        <w:t>7. Resultado consolidado: o que está integrado hoje, e em que nível</w:t>
      </w:r>
    </w:p>
    <w:tbl>
      <w:tblPr>
        <w:tblW w:w="9026"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318"/>
        <w:gridCol w:w="2400"/>
        <w:gridCol w:w="2380"/>
        <w:gridCol w:w="1928"/>
      </w:tblGrid>
      <w:tr w:rsidR="002B2D97">
        <w:tblPrEx>
          <w:tblCellMar>
            <w:top w:w="0" w:type="dxa"/>
            <w:bottom w:w="0" w:type="dxa"/>
          </w:tblCellMar>
        </w:tblPrEx>
        <w:trPr>
          <w:tblHeader/>
        </w:trPr>
        <w:tc>
          <w:tcPr>
            <w:tcW w:w="2400" w:type="dxa"/>
            <w:shd w:val="clear" w:color="auto" w:fill="1F4E5F"/>
            <w:tcMar>
              <w:top w:w="100" w:type="dxa"/>
              <w:left w:w="120" w:type="dxa"/>
              <w:bottom w:w="100" w:type="dxa"/>
              <w:right w:w="120" w:type="dxa"/>
            </w:tcMar>
            <w:vAlign w:val="center"/>
          </w:tcPr>
          <w:p w:rsidR="002B2D97" w:rsidRDefault="000647BC">
            <w:r>
              <w:rPr>
                <w:b/>
                <w:bCs/>
                <w:color w:val="FFFFFF"/>
                <w:sz w:val="20"/>
                <w:szCs w:val="20"/>
              </w:rPr>
              <w:t>Fonte</w:t>
            </w:r>
          </w:p>
        </w:tc>
        <w:tc>
          <w:tcPr>
            <w:tcW w:w="2400" w:type="dxa"/>
            <w:shd w:val="clear" w:color="auto" w:fill="1F4E5F"/>
            <w:tcMar>
              <w:top w:w="100" w:type="dxa"/>
              <w:left w:w="120" w:type="dxa"/>
              <w:bottom w:w="100" w:type="dxa"/>
              <w:right w:w="120" w:type="dxa"/>
            </w:tcMar>
            <w:vAlign w:val="center"/>
          </w:tcPr>
          <w:p w:rsidR="002B2D97" w:rsidRDefault="000647BC">
            <w:r>
              <w:rPr>
                <w:b/>
                <w:bCs/>
                <w:color w:val="FFFFFF"/>
                <w:sz w:val="20"/>
                <w:szCs w:val="20"/>
              </w:rPr>
              <w:t>Harmonizada espacial/temporalmente?</w:t>
            </w:r>
          </w:p>
        </w:tc>
        <w:tc>
          <w:tcPr>
            <w:tcW w:w="2226" w:type="dxa"/>
            <w:shd w:val="clear" w:color="auto" w:fill="1F4E5F"/>
            <w:tcMar>
              <w:top w:w="100" w:type="dxa"/>
              <w:left w:w="120" w:type="dxa"/>
              <w:bottom w:w="100" w:type="dxa"/>
              <w:right w:w="120" w:type="dxa"/>
            </w:tcMar>
            <w:vAlign w:val="center"/>
          </w:tcPr>
          <w:p w:rsidR="002B2D97" w:rsidRDefault="000647BC">
            <w:r>
              <w:rPr>
                <w:b/>
                <w:bCs/>
                <w:color w:val="FFFFFF"/>
                <w:sz w:val="20"/>
                <w:szCs w:val="20"/>
              </w:rPr>
              <w:t>Tabela Gold</w:t>
            </w:r>
          </w:p>
        </w:tc>
        <w:tc>
          <w:tcPr>
            <w:tcW w:w="2000" w:type="dxa"/>
            <w:shd w:val="clear" w:color="auto" w:fill="1F4E5F"/>
            <w:tcMar>
              <w:top w:w="100" w:type="dxa"/>
              <w:left w:w="120" w:type="dxa"/>
              <w:bottom w:w="100" w:type="dxa"/>
              <w:right w:w="120" w:type="dxa"/>
            </w:tcMar>
            <w:vAlign w:val="center"/>
          </w:tcPr>
          <w:p w:rsidR="002B2D97" w:rsidRDefault="000647BC">
            <w:r>
              <w:rPr>
                <w:b/>
                <w:bCs/>
                <w:color w:val="FFFFFF"/>
                <w:sz w:val="20"/>
                <w:szCs w:val="20"/>
              </w:rPr>
              <w:t>Integrada ao modelo de ML?</w:t>
            </w:r>
          </w:p>
        </w:tc>
      </w:tr>
      <w:tr w:rsidR="002B2D97">
        <w:tblPrEx>
          <w:tblCellMar>
            <w:top w:w="0" w:type="dxa"/>
            <w:bottom w:w="0" w:type="dxa"/>
          </w:tblCellMar>
        </w:tblPrEx>
        <w:tc>
          <w:tcPr>
            <w:tcW w:w="2400" w:type="dxa"/>
            <w:shd w:val="clear" w:color="auto" w:fill="FFFFFF"/>
            <w:tcMar>
              <w:top w:w="90" w:type="dxa"/>
              <w:left w:w="120" w:type="dxa"/>
              <w:bottom w:w="90" w:type="dxa"/>
              <w:right w:w="120" w:type="dxa"/>
            </w:tcMar>
            <w:vAlign w:val="center"/>
          </w:tcPr>
          <w:p w:rsidR="002B2D97" w:rsidRDefault="000647BC">
            <w:pPr>
              <w:spacing w:line="260" w:lineRule="auto"/>
            </w:pPr>
            <w:r>
              <w:rPr>
                <w:sz w:val="19"/>
                <w:szCs w:val="19"/>
              </w:rPr>
              <w:t>Uso do solo (MapBiomas, satélite)</w:t>
            </w:r>
          </w:p>
        </w:tc>
        <w:tc>
          <w:tcPr>
            <w:tcW w:w="2400" w:type="dxa"/>
            <w:shd w:val="clear" w:color="auto" w:fill="FFFFFF"/>
            <w:tcMar>
              <w:top w:w="90" w:type="dxa"/>
              <w:left w:w="120" w:type="dxa"/>
              <w:bottom w:w="90" w:type="dxa"/>
              <w:right w:w="120" w:type="dxa"/>
            </w:tcMar>
            <w:vAlign w:val="center"/>
          </w:tcPr>
          <w:p w:rsidR="002B2D97" w:rsidRDefault="000647BC">
            <w:pPr>
              <w:spacing w:line="260" w:lineRule="auto"/>
            </w:pPr>
            <w:r>
              <w:rPr>
                <w:sz w:val="19"/>
                <w:szCs w:val="19"/>
              </w:rPr>
              <w:t>Sim — trecho × ano</w:t>
            </w:r>
          </w:p>
        </w:tc>
        <w:tc>
          <w:tcPr>
            <w:tcW w:w="2226" w:type="dxa"/>
            <w:shd w:val="clear" w:color="auto" w:fill="FFFFFF"/>
            <w:tcMar>
              <w:top w:w="90" w:type="dxa"/>
              <w:left w:w="120" w:type="dxa"/>
              <w:bottom w:w="90" w:type="dxa"/>
              <w:right w:w="120" w:type="dxa"/>
            </w:tcMar>
            <w:vAlign w:val="center"/>
          </w:tcPr>
          <w:p w:rsidR="002B2D97" w:rsidRDefault="000647BC">
            <w:pPr>
              <w:spacing w:line="260" w:lineRule="auto"/>
            </w:pPr>
            <w:r>
              <w:rPr>
                <w:sz w:val="19"/>
                <w:szCs w:val="19"/>
              </w:rPr>
              <w:t>feature_store_ml_anual</w:t>
            </w:r>
          </w:p>
        </w:tc>
        <w:tc>
          <w:tcPr>
            <w:tcW w:w="2000" w:type="dxa"/>
            <w:shd w:val="clear" w:color="auto" w:fill="FFFFFF"/>
            <w:tcMar>
              <w:top w:w="90" w:type="dxa"/>
              <w:left w:w="120" w:type="dxa"/>
              <w:bottom w:w="90" w:type="dxa"/>
              <w:right w:w="120" w:type="dxa"/>
            </w:tcMar>
            <w:vAlign w:val="center"/>
          </w:tcPr>
          <w:p w:rsidR="002B2D97" w:rsidRDefault="000647BC">
            <w:pPr>
              <w:spacing w:line="260" w:lineRule="auto"/>
            </w:pPr>
            <w:r>
              <w:rPr>
                <w:sz w:val="19"/>
                <w:szCs w:val="19"/>
              </w:rPr>
              <w:t>SIM — preditora real</w:t>
            </w:r>
          </w:p>
        </w:tc>
      </w:tr>
      <w:tr w:rsidR="002B2D97">
        <w:tblPrEx>
          <w:tblCellMar>
            <w:top w:w="0" w:type="dxa"/>
            <w:bottom w:w="0" w:type="dxa"/>
          </w:tblCellMar>
        </w:tblPrEx>
        <w:tc>
          <w:tcPr>
            <w:tcW w:w="2400" w:type="dxa"/>
            <w:shd w:val="clear" w:color="auto" w:fill="F2F6F7"/>
            <w:tcMar>
              <w:top w:w="90" w:type="dxa"/>
              <w:left w:w="120" w:type="dxa"/>
              <w:bottom w:w="90" w:type="dxa"/>
              <w:right w:w="120" w:type="dxa"/>
            </w:tcMar>
            <w:vAlign w:val="center"/>
          </w:tcPr>
          <w:p w:rsidR="002B2D97" w:rsidRDefault="000647BC">
            <w:pPr>
              <w:spacing w:line="260" w:lineRule="auto"/>
            </w:pPr>
            <w:r>
              <w:rPr>
                <w:sz w:val="19"/>
                <w:szCs w:val="19"/>
              </w:rPr>
              <w:t>Índices espectrais (Landsat, satélite)</w:t>
            </w:r>
          </w:p>
        </w:tc>
        <w:tc>
          <w:tcPr>
            <w:tcW w:w="2400" w:type="dxa"/>
            <w:shd w:val="clear" w:color="auto" w:fill="F2F6F7"/>
            <w:tcMar>
              <w:top w:w="90" w:type="dxa"/>
              <w:left w:w="120" w:type="dxa"/>
              <w:bottom w:w="90" w:type="dxa"/>
              <w:right w:w="120" w:type="dxa"/>
            </w:tcMar>
            <w:vAlign w:val="center"/>
          </w:tcPr>
          <w:p w:rsidR="002B2D97" w:rsidRDefault="000647BC">
            <w:pPr>
              <w:spacing w:line="260" w:lineRule="auto"/>
            </w:pPr>
            <w:r>
              <w:rPr>
                <w:sz w:val="19"/>
                <w:szCs w:val="19"/>
              </w:rPr>
              <w:t>Sim — trecho × ano</w:t>
            </w:r>
          </w:p>
        </w:tc>
        <w:tc>
          <w:tcPr>
            <w:tcW w:w="2226" w:type="dxa"/>
            <w:shd w:val="clear" w:color="auto" w:fill="F2F6F7"/>
            <w:tcMar>
              <w:top w:w="90" w:type="dxa"/>
              <w:left w:w="120" w:type="dxa"/>
              <w:bottom w:w="90" w:type="dxa"/>
              <w:right w:w="120" w:type="dxa"/>
            </w:tcMar>
            <w:vAlign w:val="center"/>
          </w:tcPr>
          <w:p w:rsidR="002B2D97" w:rsidRDefault="000647BC">
            <w:pPr>
              <w:spacing w:line="260" w:lineRule="auto"/>
            </w:pPr>
            <w:r>
              <w:rPr>
                <w:sz w:val="19"/>
                <w:szCs w:val="19"/>
              </w:rPr>
              <w:t>sensoriamento_trecho_ano</w:t>
            </w:r>
          </w:p>
        </w:tc>
        <w:tc>
          <w:tcPr>
            <w:tcW w:w="2000" w:type="dxa"/>
            <w:shd w:val="clear" w:color="auto" w:fill="F2F6F7"/>
            <w:tcMar>
              <w:top w:w="90" w:type="dxa"/>
              <w:left w:w="120" w:type="dxa"/>
              <w:bottom w:w="90" w:type="dxa"/>
              <w:right w:w="120" w:type="dxa"/>
            </w:tcMar>
            <w:vAlign w:val="center"/>
          </w:tcPr>
          <w:p w:rsidR="002B2D97" w:rsidRDefault="000647BC">
            <w:pPr>
              <w:spacing w:line="260" w:lineRule="auto"/>
            </w:pPr>
            <w:r>
              <w:rPr>
                <w:sz w:val="19"/>
                <w:szCs w:val="19"/>
              </w:rPr>
              <w:t>NÃO — aguarda calibração</w:t>
            </w:r>
          </w:p>
        </w:tc>
      </w:tr>
      <w:tr w:rsidR="002B2D97">
        <w:tblPrEx>
          <w:tblCellMar>
            <w:top w:w="0" w:type="dxa"/>
            <w:bottom w:w="0" w:type="dxa"/>
          </w:tblCellMar>
        </w:tblPrEx>
        <w:tc>
          <w:tcPr>
            <w:tcW w:w="2400" w:type="dxa"/>
            <w:shd w:val="clear" w:color="auto" w:fill="FFFFFF"/>
            <w:tcMar>
              <w:top w:w="90" w:type="dxa"/>
              <w:left w:w="120" w:type="dxa"/>
              <w:bottom w:w="90" w:type="dxa"/>
              <w:right w:w="120" w:type="dxa"/>
            </w:tcMar>
            <w:vAlign w:val="center"/>
          </w:tcPr>
          <w:p w:rsidR="002B2D97" w:rsidRDefault="000647BC">
            <w:pPr>
              <w:spacing w:line="260" w:lineRule="auto"/>
            </w:pPr>
            <w:r>
              <w:rPr>
                <w:sz w:val="19"/>
                <w:szCs w:val="19"/>
              </w:rPr>
              <w:t>Qualidade da água (CETESB, in situ)</w:t>
            </w:r>
          </w:p>
        </w:tc>
        <w:tc>
          <w:tcPr>
            <w:tcW w:w="2400" w:type="dxa"/>
            <w:shd w:val="clear" w:color="auto" w:fill="FFFFFF"/>
            <w:tcMar>
              <w:top w:w="90" w:type="dxa"/>
              <w:left w:w="120" w:type="dxa"/>
              <w:bottom w:w="90" w:type="dxa"/>
              <w:right w:w="120" w:type="dxa"/>
            </w:tcMar>
            <w:vAlign w:val="center"/>
          </w:tcPr>
          <w:p w:rsidR="002B2D97" w:rsidRDefault="000647BC">
            <w:pPr>
              <w:spacing w:line="260" w:lineRule="auto"/>
            </w:pPr>
            <w:r>
              <w:rPr>
                <w:sz w:val="19"/>
                <w:szCs w:val="19"/>
              </w:rPr>
              <w:t>Sim — trecho × ano</w:t>
            </w:r>
          </w:p>
        </w:tc>
        <w:tc>
          <w:tcPr>
            <w:tcW w:w="2226" w:type="dxa"/>
            <w:shd w:val="clear" w:color="auto" w:fill="FFFFFF"/>
            <w:tcMar>
              <w:top w:w="90" w:type="dxa"/>
              <w:left w:w="120" w:type="dxa"/>
              <w:bottom w:w="90" w:type="dxa"/>
              <w:right w:w="120" w:type="dxa"/>
            </w:tcMar>
            <w:vAlign w:val="center"/>
          </w:tcPr>
          <w:p w:rsidR="002B2D97" w:rsidRDefault="000647BC">
            <w:pPr>
              <w:spacing w:line="260" w:lineRule="auto"/>
            </w:pPr>
            <w:r>
              <w:rPr>
                <w:sz w:val="19"/>
                <w:szCs w:val="19"/>
              </w:rPr>
              <w:t>feature_store_ml_anual</w:t>
            </w:r>
          </w:p>
        </w:tc>
        <w:tc>
          <w:tcPr>
            <w:tcW w:w="2000" w:type="dxa"/>
            <w:shd w:val="clear" w:color="auto" w:fill="FFFFFF"/>
            <w:tcMar>
              <w:top w:w="90" w:type="dxa"/>
              <w:left w:w="120" w:type="dxa"/>
              <w:bottom w:w="90" w:type="dxa"/>
              <w:right w:w="120" w:type="dxa"/>
            </w:tcMar>
            <w:vAlign w:val="center"/>
          </w:tcPr>
          <w:p w:rsidR="002B2D97" w:rsidRDefault="000647BC">
            <w:pPr>
              <w:spacing w:line="260" w:lineRule="auto"/>
            </w:pPr>
            <w:r>
              <w:rPr>
                <w:sz w:val="19"/>
                <w:szCs w:val="19"/>
              </w:rPr>
              <w:t>SIM — variável-alvo</w:t>
            </w:r>
          </w:p>
        </w:tc>
      </w:tr>
      <w:tr w:rsidR="002B2D97">
        <w:tblPrEx>
          <w:tblCellMar>
            <w:top w:w="0" w:type="dxa"/>
            <w:bottom w:w="0" w:type="dxa"/>
          </w:tblCellMar>
        </w:tblPrEx>
        <w:tc>
          <w:tcPr>
            <w:tcW w:w="2400" w:type="dxa"/>
            <w:shd w:val="clear" w:color="auto" w:fill="F2F6F7"/>
            <w:tcMar>
              <w:top w:w="90" w:type="dxa"/>
              <w:left w:w="120" w:type="dxa"/>
              <w:bottom w:w="90" w:type="dxa"/>
              <w:right w:w="120" w:type="dxa"/>
            </w:tcMar>
            <w:vAlign w:val="center"/>
          </w:tcPr>
          <w:p w:rsidR="002B2D97" w:rsidRDefault="000647BC">
            <w:pPr>
              <w:spacing w:line="260" w:lineRule="auto"/>
            </w:pPr>
            <w:r>
              <w:rPr>
                <w:sz w:val="19"/>
                <w:szCs w:val="19"/>
              </w:rPr>
              <w:t>Vazão/chuva (DAEE/ANA, in situ)</w:t>
            </w:r>
          </w:p>
        </w:tc>
        <w:tc>
          <w:tcPr>
            <w:tcW w:w="2400" w:type="dxa"/>
            <w:shd w:val="clear" w:color="auto" w:fill="F2F6F7"/>
            <w:tcMar>
              <w:top w:w="90" w:type="dxa"/>
              <w:left w:w="120" w:type="dxa"/>
              <w:bottom w:w="90" w:type="dxa"/>
              <w:right w:w="120" w:type="dxa"/>
            </w:tcMar>
            <w:vAlign w:val="center"/>
          </w:tcPr>
          <w:p w:rsidR="002B2D97" w:rsidRDefault="000647BC">
            <w:pPr>
              <w:spacing w:line="260" w:lineRule="auto"/>
            </w:pPr>
            <w:r>
              <w:rPr>
                <w:sz w:val="19"/>
                <w:szCs w:val="19"/>
              </w:rPr>
              <w:t>Sim — trecho × ano</w:t>
            </w:r>
          </w:p>
        </w:tc>
        <w:tc>
          <w:tcPr>
            <w:tcW w:w="2226" w:type="dxa"/>
            <w:shd w:val="clear" w:color="auto" w:fill="F2F6F7"/>
            <w:tcMar>
              <w:top w:w="90" w:type="dxa"/>
              <w:left w:w="120" w:type="dxa"/>
              <w:bottom w:w="90" w:type="dxa"/>
              <w:right w:w="120" w:type="dxa"/>
            </w:tcMar>
            <w:vAlign w:val="center"/>
          </w:tcPr>
          <w:p w:rsidR="002B2D97" w:rsidRDefault="000647BC">
            <w:pPr>
              <w:spacing w:line="260" w:lineRule="auto"/>
            </w:pPr>
            <w:r>
              <w:rPr>
                <w:sz w:val="19"/>
                <w:szCs w:val="19"/>
              </w:rPr>
              <w:t>feature_store_ml_anual</w:t>
            </w:r>
          </w:p>
        </w:tc>
        <w:tc>
          <w:tcPr>
            <w:tcW w:w="2000" w:type="dxa"/>
            <w:shd w:val="clear" w:color="auto" w:fill="F2F6F7"/>
            <w:tcMar>
              <w:top w:w="90" w:type="dxa"/>
              <w:left w:w="120" w:type="dxa"/>
              <w:bottom w:w="90" w:type="dxa"/>
              <w:right w:w="120" w:type="dxa"/>
            </w:tcMar>
            <w:vAlign w:val="center"/>
          </w:tcPr>
          <w:p w:rsidR="002B2D97" w:rsidRDefault="000647BC">
            <w:pPr>
              <w:spacing w:line="260" w:lineRule="auto"/>
            </w:pPr>
            <w:r>
              <w:rPr>
                <w:sz w:val="19"/>
                <w:szCs w:val="19"/>
              </w:rPr>
              <w:t>SIM — preditora real</w:t>
            </w:r>
          </w:p>
        </w:tc>
      </w:tr>
      <w:tr w:rsidR="002B2D97">
        <w:tblPrEx>
          <w:tblCellMar>
            <w:top w:w="0" w:type="dxa"/>
            <w:bottom w:w="0" w:type="dxa"/>
          </w:tblCellMar>
        </w:tblPrEx>
        <w:tc>
          <w:tcPr>
            <w:tcW w:w="2400" w:type="dxa"/>
            <w:shd w:val="clear" w:color="auto" w:fill="FFFFFF"/>
            <w:tcMar>
              <w:top w:w="90" w:type="dxa"/>
              <w:left w:w="120" w:type="dxa"/>
              <w:bottom w:w="90" w:type="dxa"/>
              <w:right w:w="120" w:type="dxa"/>
            </w:tcMar>
            <w:vAlign w:val="center"/>
          </w:tcPr>
          <w:p w:rsidR="002B2D97" w:rsidRDefault="000647BC">
            <w:pPr>
              <w:spacing w:line="260" w:lineRule="auto"/>
            </w:pPr>
            <w:r>
              <w:rPr>
                <w:sz w:val="19"/>
                <w:szCs w:val="19"/>
              </w:rPr>
              <w:t>Clima (ERA5/CMIP6, reanálise)</w:t>
            </w:r>
          </w:p>
        </w:tc>
        <w:tc>
          <w:tcPr>
            <w:tcW w:w="2400" w:type="dxa"/>
            <w:shd w:val="clear" w:color="auto" w:fill="FFFFFF"/>
            <w:tcMar>
              <w:top w:w="90" w:type="dxa"/>
              <w:left w:w="120" w:type="dxa"/>
              <w:bottom w:w="90" w:type="dxa"/>
              <w:right w:w="120" w:type="dxa"/>
            </w:tcMar>
            <w:vAlign w:val="center"/>
          </w:tcPr>
          <w:p w:rsidR="002B2D97" w:rsidRDefault="000647BC">
            <w:pPr>
              <w:spacing w:line="260" w:lineRule="auto"/>
            </w:pPr>
            <w:r>
              <w:rPr>
                <w:sz w:val="19"/>
                <w:szCs w:val="19"/>
              </w:rPr>
              <w:t>Sim — bacia inteira (não por trecho)</w:t>
            </w:r>
          </w:p>
        </w:tc>
        <w:tc>
          <w:tcPr>
            <w:tcW w:w="2226" w:type="dxa"/>
            <w:shd w:val="clear" w:color="auto" w:fill="FFFFFF"/>
            <w:tcMar>
              <w:top w:w="90" w:type="dxa"/>
              <w:left w:w="120" w:type="dxa"/>
              <w:bottom w:w="90" w:type="dxa"/>
              <w:right w:w="120" w:type="dxa"/>
            </w:tcMar>
            <w:vAlign w:val="center"/>
          </w:tcPr>
          <w:p w:rsidR="002B2D97" w:rsidRDefault="000647BC">
            <w:pPr>
              <w:spacing w:line="260" w:lineRule="auto"/>
            </w:pPr>
            <w:r>
              <w:rPr>
                <w:sz w:val="19"/>
                <w:szCs w:val="19"/>
              </w:rPr>
              <w:t>fator_clima_cmip6.json</w:t>
            </w:r>
          </w:p>
        </w:tc>
        <w:tc>
          <w:tcPr>
            <w:tcW w:w="2000" w:type="dxa"/>
            <w:shd w:val="clear" w:color="auto" w:fill="FFFFFF"/>
            <w:tcMar>
              <w:top w:w="90" w:type="dxa"/>
              <w:left w:w="120" w:type="dxa"/>
              <w:bottom w:w="90" w:type="dxa"/>
              <w:right w:w="120" w:type="dxa"/>
            </w:tcMar>
            <w:vAlign w:val="center"/>
          </w:tcPr>
          <w:p w:rsidR="002B2D97" w:rsidRDefault="000647BC">
            <w:pPr>
              <w:spacing w:line="260" w:lineRule="auto"/>
            </w:pPr>
            <w:r>
              <w:rPr>
                <w:sz w:val="19"/>
                <w:szCs w:val="19"/>
              </w:rPr>
              <w:t>Indireta — calibra o modelo baseado em agentes, não o ML</w:t>
            </w:r>
          </w:p>
        </w:tc>
      </w:tr>
    </w:tbl>
    <w:p w:rsidR="002B2D97" w:rsidRDefault="000647BC" w:rsidP="001A2B31">
      <w:pPr>
        <w:spacing w:after="200" w:line="300" w:lineRule="auto"/>
        <w:jc w:val="both"/>
      </w:pPr>
      <w:r>
        <w:t xml:space="preserve">Três das cinco fontes candidatas — incluindo a mais relevante para "sensoriamento remoto" no sentido estrito da pesquisa (uso do solo) — já alimentam o modelo estatístico. As duas que não alimentam (índices espectrais Landsat e clima ERA5/CMIP6) não estão </w:t>
      </w:r>
      <w:r>
        <w:t>fora por falta de mecanismo de integração — ambas têm harmonização espacial/temporal completa e pronta —, mas por uma decisão de qualidade de dado (calibração pendente) ou por servirem a um propósito diferente (o clima calibra cenários do ABM, não é uma pr</w:t>
      </w:r>
      <w:r>
        <w:t>editora observação-a-observação do ML).</w:t>
      </w:r>
    </w:p>
    <w:p w:rsidR="002B2D97" w:rsidRDefault="000647BC">
      <w:pPr>
        <w:pStyle w:val="Heading1"/>
      </w:pPr>
      <w:r>
        <w:lastRenderedPageBreak/>
        <w:t>8. Conclusão</w:t>
      </w:r>
    </w:p>
    <w:p w:rsidR="002B2D97" w:rsidRDefault="000647BC" w:rsidP="001A2B31">
      <w:pPr>
        <w:spacing w:after="200" w:line="300" w:lineRule="auto"/>
        <w:jc w:val="both"/>
      </w:pPr>
      <w:r>
        <w:t>A integração de dados heterogêneos no WaterWeave-Tietê não ocorre como uma única operação de junção — ocorre como uma sequência de decisões explícitas, uma por dimensão de heterogeneidade: harmonização e</w:t>
      </w:r>
      <w:r>
        <w:t>spacial (mapear cada ponto de satélite/estação a um trecho), harmonização temporal (reduzir toda fonte à granularidade trecho × ano), verificação de sobreposição de cobertura temporal antes de integrar (o teste que uso do solo passou e sensoriamento espect</w:t>
      </w:r>
      <w:r>
        <w:t>ral, por ora, não passa para fins de ML), preservação da proveniência (fonte_tipo, do Bronze à Gold), e separação semântica explícita entre grandezas parecidas mas diferentes (turbidez real vs. proxy espectral).</w:t>
      </w:r>
    </w:p>
    <w:p w:rsidR="002B2D97" w:rsidRDefault="000647BC" w:rsidP="001A2B31">
      <w:pPr>
        <w:spacing w:after="200" w:line="300" w:lineRule="auto"/>
        <w:jc w:val="both"/>
      </w:pPr>
      <w:r>
        <w:t>O resultado é uma base analítica em que sens</w:t>
      </w:r>
      <w:r>
        <w:t xml:space="preserve">oriamento remoto (satélite) e dado in situ (campo) convivem na mesma tabela — mas nunca de forma indistinguível: cada linha carrega consigo de onde veio e o quanto se pode confiar nela. É essa combinação — integração técnica completa mais transparência de </w:t>
      </w:r>
      <w:r>
        <w:t>proveniência — que torna a base "coerente" no sentido que a pesquisa exige, e não apenas "unificada".</w:t>
      </w:r>
    </w:p>
    <w:sectPr w:rsidR="002B2D97">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47BC" w:rsidRDefault="000647BC">
      <w:r>
        <w:separator/>
      </w:r>
    </w:p>
  </w:endnote>
  <w:endnote w:type="continuationSeparator" w:id="0">
    <w:p w:rsidR="000647BC" w:rsidRDefault="000647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2D97" w:rsidRDefault="000647BC">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sidR="001A2B31">
      <w:rPr>
        <w:color w:val="595959"/>
        <w:sz w:val="16"/>
        <w:szCs w:val="16"/>
      </w:rPr>
      <w:fldChar w:fldCharType="separate"/>
    </w:r>
    <w:r w:rsidR="001A2B31">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sidR="001A2B31">
      <w:rPr>
        <w:color w:val="595959"/>
        <w:sz w:val="16"/>
        <w:szCs w:val="16"/>
      </w:rPr>
      <w:fldChar w:fldCharType="separate"/>
    </w:r>
    <w:r w:rsidR="001A2B31">
      <w:rPr>
        <w:noProof/>
        <w:color w:val="595959"/>
        <w:sz w:val="16"/>
        <w:szCs w:val="16"/>
      </w:rPr>
      <w:t>12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47BC" w:rsidRDefault="000647BC">
      <w:r>
        <w:separator/>
      </w:r>
    </w:p>
  </w:footnote>
  <w:footnote w:type="continuationSeparator" w:id="0">
    <w:p w:rsidR="000647BC" w:rsidRDefault="000647B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2D97" w:rsidRDefault="000647BC">
    <w:pPr>
      <w:pBdr>
        <w:bottom w:val="single" w:sz="4" w:space="4" w:color="D9D9D9"/>
      </w:pBdr>
      <w:jc w:val="right"/>
    </w:pPr>
    <w:r>
      <w:rPr>
        <w:i/>
        <w:iCs/>
        <w:color w:val="595959"/>
        <w:sz w:val="16"/>
        <w:szCs w:val="16"/>
      </w:rPr>
      <w:t>WaterWeave-Tietê — Integração de Dados Heterogêneos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7260BA"/>
    <w:multiLevelType w:val="hybridMultilevel"/>
    <w:tmpl w:val="1636577C"/>
    <w:lvl w:ilvl="0" w:tplc="997EDB94">
      <w:start w:val="1"/>
      <w:numFmt w:val="bullet"/>
      <w:lvlText w:val="●"/>
      <w:lvlJc w:val="left"/>
      <w:pPr>
        <w:ind w:left="720" w:hanging="360"/>
      </w:pPr>
    </w:lvl>
    <w:lvl w:ilvl="1" w:tplc="61CA2166">
      <w:start w:val="1"/>
      <w:numFmt w:val="bullet"/>
      <w:lvlText w:val="○"/>
      <w:lvlJc w:val="left"/>
      <w:pPr>
        <w:ind w:left="1440" w:hanging="360"/>
      </w:pPr>
    </w:lvl>
    <w:lvl w:ilvl="2" w:tplc="9E62BB12">
      <w:start w:val="1"/>
      <w:numFmt w:val="bullet"/>
      <w:lvlText w:val="■"/>
      <w:lvlJc w:val="left"/>
      <w:pPr>
        <w:ind w:left="2160" w:hanging="360"/>
      </w:pPr>
    </w:lvl>
    <w:lvl w:ilvl="3" w:tplc="2FA4F538">
      <w:start w:val="1"/>
      <w:numFmt w:val="bullet"/>
      <w:lvlText w:val="●"/>
      <w:lvlJc w:val="left"/>
      <w:pPr>
        <w:ind w:left="2880" w:hanging="360"/>
      </w:pPr>
    </w:lvl>
    <w:lvl w:ilvl="4" w:tplc="276A72A0">
      <w:start w:val="1"/>
      <w:numFmt w:val="bullet"/>
      <w:lvlText w:val="○"/>
      <w:lvlJc w:val="left"/>
      <w:pPr>
        <w:ind w:left="3600" w:hanging="360"/>
      </w:pPr>
    </w:lvl>
    <w:lvl w:ilvl="5" w:tplc="D3A86C68">
      <w:start w:val="1"/>
      <w:numFmt w:val="bullet"/>
      <w:lvlText w:val="■"/>
      <w:lvlJc w:val="left"/>
      <w:pPr>
        <w:ind w:left="4320" w:hanging="360"/>
      </w:pPr>
    </w:lvl>
    <w:lvl w:ilvl="6" w:tplc="66AA05A2">
      <w:start w:val="1"/>
      <w:numFmt w:val="bullet"/>
      <w:lvlText w:val="●"/>
      <w:lvlJc w:val="left"/>
      <w:pPr>
        <w:ind w:left="5040" w:hanging="360"/>
      </w:pPr>
    </w:lvl>
    <w:lvl w:ilvl="7" w:tplc="7BD41298">
      <w:start w:val="1"/>
      <w:numFmt w:val="bullet"/>
      <w:lvlText w:val="●"/>
      <w:lvlJc w:val="left"/>
      <w:pPr>
        <w:ind w:left="5760" w:hanging="360"/>
      </w:pPr>
    </w:lvl>
    <w:lvl w:ilvl="8" w:tplc="A1A276A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2D97"/>
    <w:rsid w:val="000647BC"/>
    <w:rsid w:val="001A2B31"/>
    <w:rsid w:val="002B2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4F36BB-B28A-427E-B1AE-33A50BF2A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8" w:space="4" w:color="1F4E5F"/>
      </w:pBdr>
      <w:spacing w:before="480" w:after="240"/>
      <w:outlineLvl w:val="0"/>
    </w:pPr>
    <w:rPr>
      <w:b/>
      <w:bCs/>
      <w:color w:val="1F4E5F"/>
      <w:sz w:val="32"/>
      <w:szCs w:val="32"/>
    </w:rPr>
  </w:style>
  <w:style w:type="paragraph" w:styleId="Heading2">
    <w:name w:val="heading 2"/>
    <w:qFormat/>
    <w:pPr>
      <w:spacing w:before="360" w:after="160"/>
      <w:outlineLvl w:val="1"/>
    </w:pPr>
    <w:rPr>
      <w:b/>
      <w:bCs/>
      <w:color w:val="1F4E5F"/>
      <w:sz w:val="26"/>
      <w:szCs w:val="26"/>
    </w:rPr>
  </w:style>
  <w:style w:type="paragraph" w:styleId="Heading3">
    <w:name w:val="heading 3"/>
    <w:qFormat/>
    <w:pPr>
      <w:spacing w:before="240" w:after="120"/>
      <w:outlineLvl w:val="2"/>
    </w:pPr>
    <w:rPr>
      <w:b/>
      <w:bCs/>
      <w:i/>
      <w:iCs/>
      <w:color w:val="3D6B7D"/>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2655</Words>
  <Characters>15134</Characters>
  <Application>Microsoft Office Word</Application>
  <DocSecurity>0</DocSecurity>
  <Lines>126</Lines>
  <Paragraphs>35</Paragraphs>
  <ScaleCrop>false</ScaleCrop>
  <Company>Ford Motor Company</Company>
  <LinksUpToDate>false</LinksUpToDate>
  <CharactersWithSpaces>17754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Integração de Dados Heterogêneos — WaterWeave-Tietê</dc:title>
  <dc:creator>WaterWeave-Tietê</dc:creator>
  <dc:description>Como sensoriamento remoto e dados in situ são integrados numa base analítica coerente no WaterWeave-Tietê</dc:description>
  <cp:lastModifiedBy>Silva, José (J.W.)</cp:lastModifiedBy>
  <cp:revision>2</cp:revision>
  <dcterms:created xsi:type="dcterms:W3CDTF">2026-07-28T22:40:00Z</dcterms:created>
  <dcterms:modified xsi:type="dcterms:W3CDTF">2026-07-28T22:46:00Z</dcterms:modified>
</cp:coreProperties>
</file>