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1F1E"/>
          <w:sz w:val="50"/>
        </w:rPr>
        <w:t>Guia Didático dos Algoritmos</w:t>
        <w:br/>
        <w:t>Usados na Análise do Rio Tietê</w:t>
      </w:r>
    </w:p>
    <w:p>
      <w:pPr>
        <w:jc w:val="center"/>
      </w:pPr>
      <w:r>
        <w:rPr>
          <w:color w:val="6B6F68"/>
          <w:sz w:val="25"/>
        </w:rPr>
        <w:t>Como cada método estatístico e de Machine Learning funciona, por que foi escolhido,</w:t>
        <w:br/>
        <w:t>e o que ele fez com os dados reais da CETESB e do DAEE/ANA</w:t>
        <w:br/>
        <w:br/>
        <w:t>WaterWeave-Tietê — Documentação de Metodologia</w:t>
      </w:r>
    </w:p>
    <w:p>
      <w:r>
        <w:br w:type="page"/>
      </w:r>
    </w:p>
    <w:p>
      <w:pPr>
        <w:pStyle w:val="Heading1"/>
      </w:pPr>
      <w:r>
        <w:t>Sumário</w:t>
      </w:r>
    </w:p>
    <w:p>
      <w:r>
        <w:t>1. Introdução — para que serve este documento</w:t>
      </w:r>
    </w:p>
    <w:p>
      <w:r>
        <w:t>2. Visão geral: da tabela bruta ao gráfico</w:t>
      </w:r>
    </w:p>
    <w:p>
      <w:r>
        <w:t>3. Organizando os dados: de "lista empilhada" para "tabela larga"</w:t>
      </w:r>
    </w:p>
    <w:p>
      <w:r>
        <w:t>4. Estatística descritiva: resumindo milhares de números em poucos indicadores</w:t>
      </w:r>
    </w:p>
    <w:p>
      <w:r>
        <w:t>5. Comparando grupos: histogramas e boxplots</w:t>
      </w:r>
    </w:p>
    <w:p>
      <w:r>
        <w:t>6. Relações entre variáveis: correlação de Pearson e Spearman</w:t>
      </w:r>
    </w:p>
    <w:p>
      <w:r>
        <w:t>7. Visualizando muitas relações de uma vez: pairplot e heatmap</w:t>
      </w:r>
    </w:p>
    <w:p>
      <w:r>
        <w:t>8. Séries temporais: separando tendência, sazonalidade e ruído</w:t>
      </w:r>
    </w:p>
    <w:p>
      <w:r>
        <w:t>9. Detectando tendências de forma robusta: o teste de Mann-Kendall</w:t>
      </w:r>
    </w:p>
    <w:p>
      <w:r>
        <w:t>10. Uma variável "adianta" a outra? Correlação cruzada com defasagem</w:t>
      </w:r>
    </w:p>
    <w:p>
      <w:r>
        <w:t>11. Hidrologia avançada: permanência, dupla massa e percentis por década</w:t>
      </w:r>
    </w:p>
    <w:p>
      <w:r>
        <w:t>12. Detectando valores fora do padrão: Z-score e IQR</w:t>
      </w:r>
    </w:p>
    <w:p>
      <w:r>
        <w:t>13. Machine Learning: ensinando um algoritmo a prever a qualidade da água</w:t>
      </w:r>
    </w:p>
    <w:p>
      <w:r>
        <w:t>14. Abrindo a "caixa-preta": SHAP e Inteligência Artificial Explicável</w:t>
      </w:r>
    </w:p>
    <w:p>
      <w:r>
        <w:t>15. Machine Learning para classificação: status do rio e matriz de confusão</w:t>
      </w:r>
    </w:p>
    <w:p>
      <w:r>
        <w:t>16. Um modelo treinado aqui funciona ali? Testes de generalização</w:t>
      </w:r>
    </w:p>
    <w:p>
      <w:r>
        <w:t>17. Testando o modelo como se estivéssemos no passado: validação walk-forward</w:t>
      </w:r>
    </w:p>
    <w:p>
      <w:r>
        <w:t>18. Buscando dado real por satélite: agregação no servidor (Google Earth Engine)</w:t>
      </w:r>
    </w:p>
    <w:p>
      <w:r>
        <w:t>19. Buscando dado real de clima: chamadas a uma API científica (Copernicus Climate Data Store)</w:t>
      </w:r>
    </w:p>
    <w:p>
      <w:r>
        <w:t>20. Resumo: qual método usar para qual pergunta</w:t>
      </w:r>
    </w:p>
    <w:p>
      <w:r>
        <w:t>21. Glossário</w:t>
      </w:r>
    </w:p>
    <w:p>
      <w:r>
        <w:br w:type="page"/>
      </w:r>
    </w:p>
    <w:p>
      <w:pPr>
        <w:pStyle w:val="Heading1"/>
      </w:pPr>
      <w:r>
        <w:t>1. Introdução — para que serve este documento</w:t>
      </w:r>
    </w:p>
    <w:p>
      <w:pPr>
        <w:spacing w:after="120"/>
      </w:pPr>
      <w:r>
        <w:rPr>
          <w:b w:val="0"/>
          <w:i w:val="0"/>
          <w:sz w:val="22"/>
        </w:rPr>
        <w:t>Os dois relatórios anteriores deste projeto (a Análise Exploratória Integrada e sua Parte II, sobre sensoriamento remoto) mostram O QUE foi descoberto sobre o Rio Tietê: quais trechos estão mais poluídos, quais tendências são reais, quais parâmetros mais preocupam. Este documento explica, de forma didática, COMO cada número e cada gráfico daqueles relatórios foi produzido — qual algoritmo foi usado, por que ele foi escolhido em vez de outro, e como ele funciona por dentro, sem exigir que o leitor já saiba estatística ou Machine Learning.</w:t>
      </w:r>
    </w:p>
    <w:p>
      <w:pPr>
        <w:spacing w:after="120"/>
      </w:pPr>
      <w:r>
        <w:rPr>
          <w:b w:val="0"/>
          <w:i w:val="0"/>
          <w:sz w:val="22"/>
        </w:rPr>
        <w:t>A ideia é simples: cada capítulo a seguir trata de UM método (ou de um grupo de métodos parecidos) e segue sempre a mesma receita — o que é, por que usamos aqui, como funciona por dentro (com uma analogia do dia a dia sempre que possível) e como foi de fato aplicado neste projeto (com os números reais de configuração, não hipotéticos).</w:t>
      </w:r>
    </w:p>
    <w:tbl>
      <w:tblPr>
        <w:tblW w:type="auto" w:w="0"/>
        <w:tblLook w:firstColumn="1" w:firstRow="1" w:lastColumn="0" w:lastRow="0" w:noHBand="0" w:noVBand="1" w:val="04A0"/>
      </w:tblPr>
      <w:tblGrid>
        <w:gridCol w:w="8640"/>
      </w:tblGrid>
      <w:tr>
        <w:tc>
          <w:tcPr>
            <w:tcW w:type="dxa" w:w="8640"/>
            <w:shd w:fill="EAF1FB"/>
          </w:tcPr>
          <w:p>
            <w:r/>
            <w:r>
              <w:rPr>
                <w:b/>
                <w:color w:val="2A78D6"/>
                <w:sz w:val="18"/>
              </w:rPr>
              <w:t>PARA QUEM É ESTE DOCUMENTO</w:t>
            </w:r>
          </w:p>
          <w:p>
            <w:r>
              <w:rPr>
                <w:sz w:val="21"/>
              </w:rPr>
              <w:t>Para qualquer pessoa que queira entender as análises do Rio Tietê sem precisar primeiro fazer um curso de estatística — gestores públicos, jornalistas, estudantes, ou qualquer membro da equipe que queira auditar o raciocínio por trás de um número específico.</w:t>
            </w:r>
          </w:p>
        </w:tc>
      </w:tr>
    </w:tbl>
    <w:p>
      <w:pPr>
        <w:spacing w:after="40"/>
      </w:pPr>
    </w:p>
    <w:p>
      <w:pPr>
        <w:pStyle w:val="Heading1"/>
      </w:pPr>
      <w:r>
        <w:t>2. Visão geral: da tabela bruta ao gráfico</w:t>
      </w:r>
    </w:p>
    <w:p>
      <w:pPr>
        <w:spacing w:after="120"/>
      </w:pPr>
      <w:r>
        <w:rPr>
          <w:b w:val="0"/>
          <w:i w:val="0"/>
          <w:sz w:val="22"/>
        </w:rPr>
        <w:t>Antes de entrar em cada algoritmo, vale entender o caminho que o dado percorre. Pense numa linha de produção com quatro estações:</w:t>
      </w:r>
    </w:p>
    <w:p>
      <w:pPr>
        <w:pStyle w:val="ListBullet"/>
      </w:pPr>
      <w:r>
        <w:rPr>
          <w:sz w:val="21"/>
        </w:rPr>
        <w:t>Estação 1 — Dado bruto: a planilha da CETESB com 2,4 milhões de linhas (uma medição de um parâmetro, num ponto, numa data) e as planilhas de vazão/chuva do DAEE/ANA.</w:t>
      </w:r>
    </w:p>
    <w:p>
      <w:pPr>
        <w:pStyle w:val="ListBullet"/>
      </w:pPr>
      <w:r>
        <w:rPr>
          <w:sz w:val="21"/>
        </w:rPr>
        <w:t>Estação 2 — Organização: reorganizamos essas linhas em tabelas mais fáceis de analisar (Capítulo 3).</w:t>
      </w:r>
    </w:p>
    <w:p>
      <w:pPr>
        <w:pStyle w:val="ListBullet"/>
      </w:pPr>
      <w:r>
        <w:rPr>
          <w:sz w:val="21"/>
        </w:rPr>
        <w:t>Estação 3 — Análise: aplicamos os algoritmos estatísticos e de Machine Learning descritos nos Capítulos 4 a 16, cada um respondendo a um tipo de pergunta diferente.</w:t>
      </w:r>
    </w:p>
    <w:p>
      <w:pPr>
        <w:pStyle w:val="ListBullet"/>
      </w:pPr>
      <w:r>
        <w:rPr>
          <w:sz w:val="21"/>
        </w:rPr>
        <w:t>Estação 4 — Comunicação: cada resultado numérico vira um gráfico (linha, mapa de calor, barra) e uma frase em português simples, reunidos nos relatórios de achados.</w:t>
      </w:r>
    </w:p>
    <w:p>
      <w:pPr>
        <w:spacing w:after="120"/>
      </w:pPr>
      <w:r>
        <w:rPr>
          <w:b w:val="0"/>
          <w:i w:val="0"/>
          <w:sz w:val="22"/>
        </w:rPr>
        <w:t>Este documento é sobre a Estação 3 — o "motor" das análises.</w:t>
      </w:r>
    </w:p>
    <w:p>
      <w:pPr>
        <w:pStyle w:val="Heading1"/>
      </w:pPr>
      <w:r>
        <w:t>3. Organizando os dados: de "lista empilhada" para "tabela larga"</w:t>
      </w:r>
    </w:p>
    <w:p>
      <w:pPr>
        <w:pStyle w:val="Heading3"/>
      </w:pPr>
      <w:r>
        <w:t>Pivotamento EAV → tabela larga (pivot_table)</w:t>
      </w:r>
    </w:p>
    <w:p>
      <w:r>
        <w:rPr>
          <w:i/>
          <w:color w:val="6B6F68"/>
          <w:sz w:val="18"/>
        </w:rPr>
        <w:t>Implementado em: eda_01_prepare.py, eda_10_optico_prepare.py</w:t>
      </w:r>
    </w:p>
    <w:p>
      <w:pPr>
        <w:spacing w:after="120"/>
      </w:pPr>
      <w:r>
        <w:rPr>
          <w:b w:val="0"/>
          <w:i w:val="0"/>
          <w:sz w:val="22"/>
        </w:rPr>
        <w:t>A CETESB entrega o dado no formato que bancos de dados chamam de EAV ("Entidade-Atributo-Valor"): cada linha é uma medição isolada — um ponto de coleta, uma data, o NOME de um parâmetro (ex.: "Oxigênio Dissolvido") e o VALOR medido. É como um recibo de mercado em que cada linha é um item comprado, em vez de um resumo por categoria.</w:t>
      </w:r>
    </w:p>
    <w:tbl>
      <w:tblPr>
        <w:tblW w:type="auto" w:w="0"/>
        <w:tblLook w:firstColumn="1" w:firstRow="1" w:lastColumn="0" w:lastRow="0" w:noHBand="0" w:noVBand="1" w:val="04A0"/>
      </w:tblPr>
      <w:tblGrid>
        <w:gridCol w:w="8640"/>
      </w:tblGrid>
      <w:tr>
        <w:tc>
          <w:tcPr>
            <w:tcW w:type="dxa" w:w="8640"/>
            <w:shd w:fill="EAF1FB"/>
          </w:tcPr>
          <w:p>
            <w:r/>
            <w:r>
              <w:rPr>
                <w:b/>
                <w:color w:val="2A78D6"/>
                <w:sz w:val="18"/>
              </w:rPr>
              <w:t>POR QUE ISSO É UM PROBLEMA</w:t>
            </w:r>
          </w:p>
          <w:p>
            <w:r>
              <w:rPr>
                <w:sz w:val="21"/>
              </w:rPr>
              <w:t>Para calcular uma correlação entre Oxigênio Dissolvido e Fósforo, por exemplo, os dois precisam estar lado a lado, na MESMA linha, referentes à MESMA visita de campo. No formato EAV eles estão em linhas separadas, misturados com outros 361 parâmetros.</w:t>
            </w:r>
          </w:p>
        </w:tc>
      </w:tr>
    </w:tbl>
    <w:p>
      <w:pPr>
        <w:spacing w:after="40"/>
      </w:pPr>
    </w:p>
    <w:p>
      <w:pPr>
        <w:spacing w:after="120"/>
      </w:pPr>
      <w:r>
        <w:rPr>
          <w:b w:val="0"/>
          <w:i w:val="0"/>
          <w:sz w:val="22"/>
        </w:rPr>
        <w:t>A solução é o "pivotamento": para cada visita de campo (mesmo ponto + mesma data), criamos uma linha única com uma coluna para cada parâmetro de interesse — exatamente como transformar aquele recibo numa planilha de "gasto por categoria", uma linha por compra, uma coluna por categoria de produto.</w:t>
      </w:r>
    </w:p>
    <w:p>
      <w:pPr>
        <w:spacing w:after="120"/>
      </w:pPr>
      <w:r>
        <w:rPr>
          <w:b w:val="0"/>
          <w:i w:val="0"/>
          <w:sz w:val="22"/>
        </w:rPr>
        <w:t>Neste projeto, esse pivotamento foi feito em duas versões: uma por evento de coleta (uma linha por visita de campo, usada nas correlações mais detalhadas) e outra por trecho/ano (uma linha por combinação de trecho do rio e ano, usada nas séries temporais e no teste de tendência). Também juntamos, na mesma linha, a vazão e a chuva do mesmo trecho/mês da coleta — para poder perguntar "o contexto hidrológico daquele dia explica o resultado?".</w:t>
      </w:r>
    </w:p>
    <w:p>
      <w:pPr>
        <w:pStyle w:val="Heading1"/>
      </w:pPr>
      <w:r>
        <w:t>4. Estatística descritiva: resumindo milhares de números em poucos indicadores</w:t>
      </w:r>
    </w:p>
    <w:p>
      <w:pPr>
        <w:pStyle w:val="Heading3"/>
      </w:pPr>
      <w:r>
        <w:t>Média, desvio padrão, mediana, quartis e extremos (DataFrame.describe)</w:t>
      </w:r>
    </w:p>
    <w:p>
      <w:r>
        <w:rPr>
          <w:i/>
          <w:color w:val="6B6F68"/>
          <w:sz w:val="18"/>
        </w:rPr>
        <w:t>Implementado em: todos os scripts eda_*</w:t>
      </w:r>
    </w:p>
    <w:p>
      <w:pPr>
        <w:spacing w:after="120"/>
      </w:pPr>
      <w:r>
        <w:rPr>
          <w:b w:val="0"/>
          <w:i w:val="0"/>
          <w:sz w:val="22"/>
        </w:rPr>
        <w:t>Antes de qualquer análise sofisticada, a pergunta mais simples é: "como são, em geral, os números deste parâmetro?". Cinco números resolvem isso:</w:t>
      </w:r>
    </w:p>
    <w:p>
      <w:pPr>
        <w:pStyle w:val="ListBullet"/>
      </w:pPr>
      <w:r>
        <w:rPr>
          <w:sz w:val="21"/>
        </w:rPr>
        <w:t>Média: soma tudo e divide pela quantidade — o "ponto de equilíbrio" dos dados.</w:t>
      </w:r>
    </w:p>
    <w:p>
      <w:pPr>
        <w:pStyle w:val="ListBullet"/>
      </w:pPr>
      <w:r>
        <w:rPr>
          <w:sz w:val="21"/>
        </w:rPr>
        <w:t>Mediana: o valor do meio quando você ordena todos os números — mais resistente a valores extremos que a média (se um bilionário entra numa sala, a média de renda dispara, mas a mediana quase não muda).</w:t>
      </w:r>
    </w:p>
    <w:p>
      <w:pPr>
        <w:pStyle w:val="ListBullet"/>
      </w:pPr>
      <w:r>
        <w:rPr>
          <w:sz w:val="21"/>
        </w:rPr>
        <w:t>Desvio padrão: o quanto os valores costumam se afastar da média, em média — um desvio padrão pequeno significa dados concentrados; grande significa dados espalhados.</w:t>
      </w:r>
    </w:p>
    <w:p>
      <w:pPr>
        <w:pStyle w:val="ListBullet"/>
      </w:pPr>
      <w:r>
        <w:rPr>
          <w:sz w:val="21"/>
        </w:rPr>
        <w:t>Quartis (25% e 75%): dividem os dados em quatro partes iguais — o quartil de 25% é o valor abaixo do qual estão os 25% menores valores, e assim por diante.</w:t>
      </w:r>
    </w:p>
    <w:p>
      <w:pPr>
        <w:pStyle w:val="ListBullet"/>
      </w:pPr>
      <w:r>
        <w:rPr>
          <w:sz w:val="21"/>
        </w:rPr>
        <w:t>Mínimo e máximo: os extremos observados.</w:t>
      </w:r>
    </w:p>
    <w:p>
      <w:pPr>
        <w:spacing w:after="120"/>
      </w:pPr>
      <w:r>
        <w:rPr>
          <w:b w:val="0"/>
          <w:i w:val="0"/>
          <w:sz w:val="22"/>
        </w:rPr>
        <w:t>Aplicamos essas cinco medidas a cada parâmetro (IQA, OD, DBO, metais, vazão, chuva...) separadamente para cada trecho do rio (Alto/Médio/Baixo Tietê), o que permite comparar diretamente, por exemplo, se o Alto Tietê realmente tem OD mais baixo E mais instável (desvio padrão maior) que o Baixo Tietê.</w:t>
      </w:r>
    </w:p>
    <w:p>
      <w:pPr>
        <w:pStyle w:val="Heading1"/>
      </w:pPr>
      <w:r>
        <w:t>5. Comparando grupos: histogramas e boxplots</w:t>
      </w:r>
    </w:p>
    <w:p>
      <w:pPr>
        <w:pStyle w:val="Heading3"/>
      </w:pPr>
      <w:r>
        <w:t>Histograma (distribuição de frequência)</w:t>
      </w:r>
    </w:p>
    <w:p>
      <w:r>
        <w:rPr>
          <w:i/>
          <w:color w:val="6B6F68"/>
          <w:sz w:val="18"/>
        </w:rPr>
        <w:t>Implementado em: eda_02_solo_series.py, eda_11_optico_series_corr.py</w:t>
      </w:r>
    </w:p>
    <w:p>
      <w:pPr>
        <w:spacing w:after="120"/>
      </w:pPr>
      <w:r>
        <w:rPr>
          <w:b w:val="0"/>
          <w:i w:val="0"/>
          <w:sz w:val="22"/>
        </w:rPr>
        <w:t>Um histograma responde: "que valores aparecem mais e quais aparecem menos?". A técnica divide o eixo de valores em faixas ("baldes") e conta quantas medições caem em cada balde, desenhando uma barra proporcional a essa contagem. Um histograma com uma "corcova" só (forma de sino) indica que a maioria dos valores está perto de um centro; uma cauda longa de um lado indica que valores extremos, embora raros, acontecem — sinal de eventos de poluição pontuais, por exemplo.</w:t>
      </w:r>
    </w:p>
    <w:p>
      <w:pPr>
        <w:pStyle w:val="Heading3"/>
      </w:pPr>
      <w:r>
        <w:t>Boxplot (diagrama de caixa)</w:t>
      </w:r>
    </w:p>
    <w:p>
      <w:r>
        <w:rPr>
          <w:i/>
          <w:color w:val="6B6F68"/>
          <w:sz w:val="18"/>
        </w:rPr>
        <w:t>Implementado em: eda_02_solo_series.py</w:t>
      </w:r>
    </w:p>
    <w:p>
      <w:pPr>
        <w:spacing w:after="120"/>
      </w:pPr>
      <w:r>
        <w:rPr>
          <w:b w:val="0"/>
          <w:i w:val="0"/>
          <w:sz w:val="22"/>
        </w:rPr>
        <w:t>O boxplot é uma forma compacta de mostrar mediana, quartis e valores extremos de uma vez, e principalmente de COMPARAR vários grupos lado a lado (por isso o usamos para comparar Alto × Médio × Baixo Tietê no mesmo gráfico). A "caixa" central cobre os 50% dos dados do meio (entre o 1º e o 3º quartil); a linha dentro dela é a mediana; os "bigodes" se estendem até 1,5× a largura da caixa, e pontos além disso são marcados individualmente como possíveis valores atípicos (mesma lógica do IQR do Capítulo 12).</w:t>
      </w:r>
    </w:p>
    <w:p>
      <w:pPr>
        <w:pStyle w:val="Heading1"/>
      </w:pPr>
      <w:r>
        <w:t>6. Relações entre variáveis: correlação de Pearson e Spearman</w:t>
      </w:r>
    </w:p>
    <w:p>
      <w:pPr>
        <w:spacing w:after="120"/>
      </w:pPr>
      <w:r>
        <w:rPr>
          <w:b w:val="0"/>
          <w:i w:val="0"/>
          <w:sz w:val="22"/>
        </w:rPr>
        <w:t>Correlação mede se duas variáveis "andam juntas": quando uma sobe, a outra também sobe (correlação positiva), desce (negativa), ou não há relação clara (perto de zero). O resultado é sempre um número entre -1 e +1.</w:t>
      </w:r>
    </w:p>
    <w:p>
      <w:pPr>
        <w:pStyle w:val="Heading3"/>
      </w:pPr>
      <w:r>
        <w:t>Correlação de Pearson</w:t>
      </w:r>
    </w:p>
    <w:p>
      <w:r>
        <w:rPr>
          <w:i/>
          <w:color w:val="6B6F68"/>
          <w:sz w:val="18"/>
        </w:rPr>
        <w:t>Implementado em: eda_03_pairplot_pearson.py</w:t>
      </w:r>
    </w:p>
    <w:p>
      <w:pPr>
        <w:spacing w:after="120"/>
      </w:pPr>
      <w:r>
        <w:rPr>
          <w:b w:val="0"/>
          <w:i w:val="0"/>
          <w:sz w:val="22"/>
        </w:rPr>
        <w:t>Pearson mede especificamente relações EM LINHA RETA: se você jogasse os pontos num gráfico de dispersão, o quanto eles se aproximam de uma reta perfeita. É sensível a valores extremos (um único ponto muito fora da curva pode distorcer bastante o resultado) e assume que a relação, se existir, é linear.</w:t>
      </w:r>
    </w:p>
    <w:p>
      <w:pPr>
        <w:pStyle w:val="Heading3"/>
      </w:pPr>
      <w:r>
        <w:t>Correlação de Spearman</w:t>
      </w:r>
    </w:p>
    <w:p>
      <w:r>
        <w:rPr>
          <w:i/>
          <w:color w:val="6B6F68"/>
          <w:sz w:val="18"/>
        </w:rPr>
        <w:t>Implementado em: eda_05_spearman_mk.py, eda_11_optico_series_corr.py</w:t>
      </w:r>
    </w:p>
    <w:p>
      <w:pPr>
        <w:spacing w:after="120"/>
      </w:pPr>
      <w:r>
        <w:rPr>
          <w:b w:val="0"/>
          <w:i w:val="0"/>
          <w:sz w:val="22"/>
        </w:rPr>
        <w:t>Spearman é mais flexível: em vez de usar os valores originais, ele primeiro os transforma em "posições no ranking" (o menor valor vira 1, o segundo menor vira 2, e assim por diante) e só depois calcula a correlação sobre esses rankings. Isso captura qualquer relação MONÓTONA — sempre crescente ou sempre decrescente, mesmo que não seja uma linha reta perfeita — e é muito mais resistente a valores extremos isolados.</w:t>
      </w:r>
    </w:p>
    <w:tbl>
      <w:tblPr>
        <w:tblW w:type="auto" w:w="0"/>
        <w:tblLook w:firstColumn="1" w:firstRow="1" w:lastColumn="0" w:lastRow="0" w:noHBand="0" w:noVBand="1" w:val="04A0"/>
      </w:tblPr>
      <w:tblGrid>
        <w:gridCol w:w="8640"/>
      </w:tblGrid>
      <w:tr>
        <w:tc>
          <w:tcPr>
            <w:tcW w:type="dxa" w:w="8640"/>
            <w:shd w:fill="EAF1FB"/>
          </w:tcPr>
          <w:p>
            <w:r/>
            <w:r>
              <w:rPr>
                <w:b/>
                <w:color w:val="2A78D6"/>
                <w:sz w:val="18"/>
              </w:rPr>
              <w:t>POR QUE USAMOS SPEARMAN COMO MÉTODO PRINCIPAL PARA O DADO REAL DA CETESB</w:t>
            </w:r>
          </w:p>
          <w:p>
            <w:r>
              <w:rPr>
                <w:sz w:val="21"/>
              </w:rPr>
              <w:t>Medições ambientais reais quase nunca seguem uma linha reta perfeita e frequentemente têm valores muito acima do normal (um vazamento pontual de esgoto, por exemplo). Pearson foi usado apenas na planilha solo/sedimentos simulada, mais "comportada" estatisticamente; Spearman foi o método escolhido para os 13 parâmetros reais da CETESB e para o painel de proxies ópticos, exatamente por essa robustez.</w:t>
            </w:r>
          </w:p>
        </w:tc>
      </w:tr>
    </w:tbl>
    <w:p>
      <w:pPr>
        <w:spacing w:after="40"/>
      </w:pPr>
    </w:p>
    <w:p>
      <w:pPr>
        <w:pStyle w:val="Heading1"/>
      </w:pPr>
      <w:r>
        <w:t>7. Visualizando muitas relações de uma vez: pairplot e heatmap</w:t>
      </w:r>
    </w:p>
    <w:p>
      <w:pPr>
        <w:pStyle w:val="Heading3"/>
      </w:pPr>
      <w:r>
        <w:t>Pairplot (matriz de dispersão)</w:t>
      </w:r>
    </w:p>
    <w:p>
      <w:r>
        <w:rPr>
          <w:i/>
          <w:color w:val="6B6F68"/>
          <w:sz w:val="18"/>
        </w:rPr>
        <w:t>Implementado em: eda_03_pairplot_pearson.py, eda_08_shap_confusao.py</w:t>
      </w:r>
    </w:p>
    <w:p>
      <w:pPr>
        <w:spacing w:after="120"/>
      </w:pPr>
      <w:r>
        <w:rPr>
          <w:b w:val="0"/>
          <w:i w:val="0"/>
          <w:sz w:val="22"/>
        </w:rPr>
        <w:t>Se você tem 6 variáveis, existem 15 pares possíveis de correlação entre elas. Em vez de fazer 15 gráficos separados, o pairplot organiza todos eles numa grade única: a linha e a coluna de cada posição indicam quais duas variáveis estão sendo comparadas naquele quadrado, e a diagonal mostra a distribuição de cada variável sozinha (um histograma). É a forma mais rápida de "escanear" visualmente dezenas de relações ao mesmo tempo antes de decidir onde olhar com mais cuidado.</w:t>
      </w:r>
    </w:p>
    <w:p>
      <w:pPr>
        <w:pStyle w:val="Heading3"/>
      </w:pPr>
      <w:r>
        <w:t>Heatmap (mapa de calor)</w:t>
      </w:r>
    </w:p>
    <w:p>
      <w:r>
        <w:rPr>
          <w:i/>
          <w:color w:val="6B6F68"/>
          <w:sz w:val="18"/>
        </w:rPr>
        <w:t>Implementado em: eda_04_heatmap_ccf.py, eda_05_spearman_mk.py</w:t>
      </w:r>
    </w:p>
    <w:p>
      <w:pPr>
        <w:spacing w:after="120"/>
      </w:pPr>
      <w:r>
        <w:rPr>
          <w:b w:val="0"/>
          <w:i w:val="0"/>
          <w:sz w:val="22"/>
        </w:rPr>
        <w:t>Um heatmap pinta uma tabela de números usando cores em vez de (ou além de) dígitos — quanto mais intensa a cor, maior o valor. Usamos heatmaps de duas formas neste projeto: para mostrar a matriz de correlação inteira de uma vez (cada célula colorida por Vermelho ou Azul conforme a correlação é positiva ou negativa), e para mostrar a chuva média por mês e por ano lado a lado — nesse segundo caso, o olho humano identifica instantaneamente os "meses mais chuvosos" como faixas mais escuras, sem precisar ler número por número.</w:t>
      </w:r>
    </w:p>
    <w:p>
      <w:pPr>
        <w:pStyle w:val="Heading1"/>
      </w:pPr>
      <w:r>
        <w:t>8. Séries temporais: separando tendência, sazonalidade e ruído</w:t>
      </w:r>
    </w:p>
    <w:p>
      <w:pPr>
        <w:pStyle w:val="Heading3"/>
      </w:pPr>
      <w:r>
        <w:t>Decomposição sazonal aditiva (statsmodels.seasonal_decompose)</w:t>
      </w:r>
    </w:p>
    <w:p>
      <w:r>
        <w:rPr>
          <w:i/>
          <w:color w:val="6B6F68"/>
          <w:sz w:val="18"/>
        </w:rPr>
        <w:t>Implementado em: eda_06_decomp_hidro.py</w:t>
      </w:r>
    </w:p>
    <w:p>
      <w:pPr>
        <w:spacing w:after="120"/>
      </w:pPr>
      <w:r>
        <w:rPr>
          <w:b w:val="0"/>
          <w:i w:val="0"/>
          <w:sz w:val="22"/>
        </w:rPr>
        <w:t>Pense numa música: ela tem uma melodia de fundo que evolui lentamente (tendência), um ritmo que se repete a cada compasso (sazonalidade) e pequenas variações que não seguem nenhum padrão (ruído). Uma série temporal de vazão mensal do rio tem exatamente essas três camadas: uma tendência de longo prazo (o rio está, em média, ficando mais ou menos caudaloso ao longo das décadas?), um ciclo que se repete todo ano (estação chuvosa vs. seca) e um resíduo (tudo que sobra depois de remover as duas primeiras camadas).</w:t>
      </w:r>
    </w:p>
    <w:p>
      <w:pPr>
        <w:spacing w:after="120"/>
      </w:pPr>
      <w:r>
        <w:rPr>
          <w:b w:val="0"/>
          <w:i w:val="0"/>
          <w:sz w:val="22"/>
        </w:rPr>
        <w:t>O algoritmo assume que: valor observado = tendência + sazonalidade + resíduo. Ele estima a tendência suavizando a série (uma média móvel ao longo de 12 meses), depois calcula a sazonalidade como a média de cada mês do ano depois de remover essa tendência, e o que sobra é o resíduo. Calculamos, a partir disso, uma "força sazonal" (de 0 a 1): quanto mais perto de 1, mais a sazonalidade domina a série; perto de 0, o ciclo anual é fraco ou inexistente — foi assim que comparamos objetivamente o Médio Tietê (sazonalidade forte, 0,82) com o Alto e o Baixo Tietê (sazonalidade fraca, ~0,08-0,09, indício de regularização por reservatórios).</w:t>
      </w:r>
    </w:p>
    <w:p>
      <w:pPr>
        <w:pStyle w:val="Heading1"/>
      </w:pPr>
      <w:r>
        <w:t>9. Detectando tendências de forma robusta: o teste de Mann-Kendall</w:t>
      </w:r>
    </w:p>
    <w:p>
      <w:pPr>
        <w:pStyle w:val="Heading3"/>
      </w:pPr>
      <w:r>
        <w:t>Teste de Mann-Kendall e inclinação de Sen (biblioteca pymannkendall)</w:t>
      </w:r>
    </w:p>
    <w:p>
      <w:r>
        <w:rPr>
          <w:i/>
          <w:color w:val="6B6F68"/>
          <w:sz w:val="18"/>
        </w:rPr>
        <w:t>Implementado em: eda_05_spearman_mk.py</w:t>
      </w:r>
    </w:p>
    <w:p>
      <w:pPr>
        <w:spacing w:after="120"/>
      </w:pPr>
      <w:r>
        <w:rPr>
          <w:b w:val="0"/>
          <w:i w:val="0"/>
          <w:sz w:val="22"/>
        </w:rPr>
        <w:t>A forma mais ingênua de checar se um parâmetro está piorando seria comparar só o primeiro e o último ano da série. O problema é que, se por acaso o primeiro ou o último ano foi atípico (uma seca rara, um evento de poluição isolado), essa comparação simples engana.</w:t>
      </w:r>
    </w:p>
    <w:p>
      <w:pPr>
        <w:spacing w:after="120"/>
      </w:pPr>
      <w:r>
        <w:rPr>
          <w:b w:val="0"/>
          <w:i w:val="0"/>
          <w:sz w:val="22"/>
        </w:rPr>
        <w:t>O Mann-Kendall é mais cuidadoso: ele olha para TODOS os pares possíveis de anos na série (ano 1 vs. ano 2, ano 1 vs. ano 3, ano 2 vs. ano 3, e assim por diante) e, para cada par, só pergunta uma coisa simples — o valor do ano mais recente é maior ou menor que o do ano mais antigo? No final, ele conta quantos pares "subiram" e quantos "desceram". Se há muito mais pares subindo do que descendo (ou vice-versa), a tendência é considerada real e recebe um p-valor baixo (estatisticamente significativa); se os pares estão quase empatados, não há tendência confiável — pode ser só flutuação aleatória.</w:t>
      </w:r>
    </w:p>
    <w:p>
      <w:pPr>
        <w:pStyle w:val="ListBullet"/>
      </w:pPr>
      <w:r>
        <w:rPr>
          <w:sz w:val="21"/>
        </w:rPr>
        <w:t>τ de Kendall ("tau"): vai de -1 a +1 e resume a força e a direção da tendência (perto de +1 = quase todos os pares sobem; perto de -1 = quase todos descem; perto de 0 = sem padrão).</w:t>
      </w:r>
    </w:p>
    <w:p>
      <w:pPr>
        <w:pStyle w:val="ListBullet"/>
      </w:pPr>
      <w:r>
        <w:rPr>
          <w:sz w:val="21"/>
        </w:rPr>
        <w:t>p-valor: a probabilidade de um padrão tão forte quanto esse aparecer só por acaso, mesmo sem tendência real. Usamos o limiar clássico de 5% (0,05) — abaixo disso, consideramos a tendência "estatisticamente significativa".</w:t>
      </w:r>
    </w:p>
    <w:p>
      <w:pPr>
        <w:pStyle w:val="ListBullet"/>
      </w:pPr>
      <w:r>
        <w:rPr>
          <w:sz w:val="21"/>
        </w:rPr>
        <w:t>Inclinação de Sen: alternativa à regressão linear comum para estimar OQUANTO a série sobe ou desce por ano, também resistente a valores atípicos.</w:t>
      </w:r>
    </w:p>
    <w:tbl>
      <w:tblPr>
        <w:tblW w:type="auto" w:w="0"/>
        <w:tblLook w:firstColumn="1" w:firstRow="1" w:lastColumn="0" w:lastRow="0" w:noHBand="0" w:noVBand="1" w:val="04A0"/>
      </w:tblPr>
      <w:tblGrid>
        <w:gridCol w:w="8640"/>
      </w:tblGrid>
      <w:tr>
        <w:tc>
          <w:tcPr>
            <w:tcW w:type="dxa" w:w="8640"/>
            <w:shd w:fill="EAF1FB"/>
          </w:tcPr>
          <w:p>
            <w:r/>
            <w:r>
              <w:rPr>
                <w:b/>
                <w:color w:val="2A78D6"/>
                <w:sz w:val="18"/>
              </w:rPr>
              <w:t>POR QUE ESTE TESTE, E NÃO UMA REGRESSÃO LINEAR SIMPLES</w:t>
            </w:r>
          </w:p>
          <w:p>
            <w:r>
              <w:rPr>
                <w:sz w:val="21"/>
              </w:rPr>
              <w:t>Séries ambientais reais têm anos faltando, medições esparsas e valores extremos ocasionais. Mann-Kendall não exige que os dados sigam uma distribuição normal nem uma quantidade mínima de pontos regularmente espaçados — dois requisitos que uma regressão linear clássica exige e que o dado real da CETESB nem sempre cumpre.</w:t>
            </w:r>
          </w:p>
        </w:tc>
      </w:tr>
    </w:tbl>
    <w:p>
      <w:pPr>
        <w:spacing w:after="40"/>
      </w:pPr>
    </w:p>
    <w:p>
      <w:pPr>
        <w:spacing w:after="120"/>
      </w:pPr>
      <w:r>
        <w:rPr>
          <w:b w:val="0"/>
          <w:i w:val="0"/>
          <w:sz w:val="22"/>
        </w:rPr>
        <w:t>Aplicamos este teste a 69 combinações diferentes de parâmetro × trecho (17 parâmetros reais × 3 trechos, mais os indicadores agregados e a hidrologia) — foi assim que identificamos, por exemplo, que o Oxigênio Dissolvido cai de forma estatisticamente significativa nos três trechos do rio.</w:t>
      </w:r>
    </w:p>
    <w:p>
      <w:pPr>
        <w:pStyle w:val="Heading1"/>
      </w:pPr>
      <w:r>
        <w:t>10. Uma variável "adianta" a outra? Correlação cruzada com defasagem</w:t>
      </w:r>
    </w:p>
    <w:p>
      <w:pPr>
        <w:pStyle w:val="Heading3"/>
      </w:pPr>
      <w:r>
        <w:t>Cross-Correlation Function — CCF (statsmodels.tsa.stattools.ccf)</w:t>
      </w:r>
    </w:p>
    <w:p>
      <w:r>
        <w:rPr>
          <w:i/>
          <w:color w:val="6B6F68"/>
          <w:sz w:val="18"/>
        </w:rPr>
        <w:t>Implementado em: eda_04_heatmap_ccf.py</w:t>
      </w:r>
    </w:p>
    <w:p>
      <w:pPr>
        <w:spacing w:after="120"/>
      </w:pPr>
      <w:r>
        <w:rPr>
          <w:b w:val="0"/>
          <w:i w:val="0"/>
          <w:sz w:val="22"/>
        </w:rPr>
        <w:t>Imagine gritar perto de um paredão e ouvir o eco alguns segundos depois — o eco é uma versão atrasada do grito original. A correlação cruzada faz a mesma pergunta com séries temporais: será que a chuva de um mês "ecoa" na vazão do rio 1, 2 ou 3 meses depois?</w:t>
      </w:r>
    </w:p>
    <w:p>
      <w:pPr>
        <w:spacing w:after="120"/>
      </w:pPr>
      <w:r>
        <w:rPr>
          <w:b w:val="0"/>
          <w:i w:val="0"/>
          <w:sz w:val="22"/>
        </w:rPr>
        <w:t>O algoritmo desloca uma das séries no tempo (chamamos isso de "defasagem" ou lag) e recalcula a correlação a cada deslocamento: lag 0 (mesmo mês), lag 1 (chuva de um mês atrás), lag 2, e assim por diante, positivos e negativos. O resultado é um gráfico com uma barra vertical para cada defasagem testada — a defasagem com a barra mais alta é aquela em que a relação entre as duas séries é mais forte. Testamos defasagens de -12 a +12 meses entre chuva e vazão, por trecho, e descobrimos que o Médio Tietê responde à chuva quase instantaneamente (pico no mesmo mês, correlação 0,75), enquanto Alto e Baixo Tietê têm resposta mais fraca — coerente com bacias mais regularizadas por reservatórios.</w:t>
      </w:r>
    </w:p>
    <w:p>
      <w:pPr>
        <w:pStyle w:val="Heading1"/>
      </w:pPr>
      <w:r>
        <w:t>11. Hidrologia avançada: permanência, dupla massa e percentis por década</w:t>
      </w:r>
    </w:p>
    <w:p>
      <w:pPr>
        <w:pStyle w:val="Heading3"/>
      </w:pPr>
      <w:r>
        <w:t>Curva de permanência (Flow Duration Curve)</w:t>
      </w:r>
    </w:p>
    <w:p>
      <w:r>
        <w:rPr>
          <w:i/>
          <w:color w:val="6B6F68"/>
          <w:sz w:val="18"/>
        </w:rPr>
        <w:t>Implementado em: eda_06_decomp_hidro.py</w:t>
      </w:r>
    </w:p>
    <w:p>
      <w:pPr>
        <w:spacing w:after="120"/>
      </w:pPr>
      <w:r>
        <w:rPr>
          <w:b w:val="0"/>
          <w:i w:val="0"/>
          <w:sz w:val="22"/>
        </w:rPr>
        <w:t>Pergunta clássica de engenharia hídrica: "em que fração do tempo o rio tem PELO MENOS uma certa vazão?". A curva de permanência responde ordenando todas as medições de vazão da mais alta para a mais baixa e calculando, para cada uma, a porcentagem de meses em que aquele valor (ou um maior) foi observado. O resultado tradicionalmente é lido em três pontos de referência: Q10 (vazão que é igualada ou superada em 10% do tempo — os "meses de cheia"), Q50 (a mediana) e Q90 (vazão igualada ou superada em 90% do tempo — os "meses de seca severa", usados inclusive para calcular outorgas de uso da água).</w:t>
      </w:r>
    </w:p>
    <w:p>
      <w:pPr>
        <w:pStyle w:val="Heading3"/>
      </w:pPr>
      <w:r>
        <w:t>Curva de dupla massa</w:t>
      </w:r>
    </w:p>
    <w:p>
      <w:r>
        <w:rPr>
          <w:i/>
          <w:color w:val="6B6F68"/>
          <w:sz w:val="18"/>
        </w:rPr>
        <w:t>Implementado em: eda_06_decomp_hidro.py</w:t>
      </w:r>
    </w:p>
    <w:p>
      <w:pPr>
        <w:spacing w:after="120"/>
      </w:pPr>
      <w:r>
        <w:rPr>
          <w:b w:val="0"/>
          <w:i w:val="0"/>
          <w:sz w:val="22"/>
        </w:rPr>
        <w:t>Uma ferramenta clássica para AUDITAR a qualidade de uma série histórica, não para medir o fenômeno em si. A ideia: se dois postos de chuva medem, ao longo de décadas, o mesmo regime climático regional, o acumulado de um contra o acumulado do outro deveria desenhar praticamente uma linha reta. Se em algum ponto a linha muda de inclinação (uma "quebra"), é sinal de que algo mudou naquele posto especificamente — um pluviômetro trocado, relocado, ou um erro de digitação — e não uma mudança real de clima (que afetaria os dois postos igualmente). Usamos essa técnica para confirmar que as séries de chuva não têm inconsistências de instrumentação (R² acima de 0,98 nos três trechos).</w:t>
      </w:r>
    </w:p>
    <w:p>
      <w:pPr>
        <w:pStyle w:val="Heading3"/>
      </w:pPr>
      <w:r>
        <w:t>Percentis por década</w:t>
      </w:r>
    </w:p>
    <w:p>
      <w:r>
        <w:rPr>
          <w:i/>
          <w:color w:val="6B6F68"/>
          <w:sz w:val="18"/>
        </w:rPr>
        <w:t>Implementado em: eda_06_decomp_hidro.py</w:t>
      </w:r>
    </w:p>
    <w:p>
      <w:pPr>
        <w:spacing w:after="120"/>
      </w:pPr>
      <w:r>
        <w:rPr>
          <w:b w:val="0"/>
          <w:i w:val="0"/>
          <w:sz w:val="22"/>
        </w:rPr>
        <w:t>Simplesmente repetimos o cálculo de P10/P50/P90 (mesma lógica da curva de permanência) separadamente para cada década, permitindo ver se o regime de vazão mudou ao longo do tempo — por exemplo, se as décadas mais recentes têm secas mais severas (P90 mais baixo) que décadas antigas.</w:t>
      </w:r>
    </w:p>
    <w:p>
      <w:pPr>
        <w:pStyle w:val="Heading1"/>
      </w:pPr>
      <w:r>
        <w:t>12. Detectando valores fora do padrão: Z-score e IQR</w:t>
      </w:r>
    </w:p>
    <w:p>
      <w:pPr>
        <w:pStyle w:val="Heading3"/>
      </w:pPr>
      <w:r>
        <w:t>Z-score</w:t>
      </w:r>
    </w:p>
    <w:p>
      <w:r>
        <w:rPr>
          <w:i/>
          <w:color w:val="6B6F68"/>
          <w:sz w:val="18"/>
        </w:rPr>
        <w:t>Implementado em: eda_07_anomalias.py</w:t>
      </w:r>
    </w:p>
    <w:p>
      <w:pPr>
        <w:spacing w:after="120"/>
      </w:pPr>
      <w:r>
        <w:rPr>
          <w:b w:val="0"/>
          <w:i w:val="0"/>
          <w:sz w:val="22"/>
        </w:rPr>
        <w:t>O Z-score responde: "a quantos desvios-padrão de distância da média este valor está?". Se um valor tem Z-score = 3, ele está 3 desvios-padrão acima da média — em uma distribuição bem-comportada ("normal"), isso é extremamente raro (menos de 0,3% dos casos), então convencionamos marcar como "outlier extremo" qualquer ponto com |Z| &gt; 3.</w:t>
      </w:r>
    </w:p>
    <w:p>
      <w:pPr>
        <w:pStyle w:val="Heading3"/>
      </w:pPr>
      <w:r>
        <w:t>IQR (intervalo interquartil)</w:t>
      </w:r>
    </w:p>
    <w:p>
      <w:r>
        <w:rPr>
          <w:i/>
          <w:color w:val="6B6F68"/>
          <w:sz w:val="18"/>
        </w:rPr>
        <w:t>Implementado em: eda_07_anomalias.py</w:t>
      </w:r>
    </w:p>
    <w:p>
      <w:pPr>
        <w:spacing w:after="120"/>
      </w:pPr>
      <w:r>
        <w:rPr>
          <w:b w:val="0"/>
          <w:i w:val="0"/>
          <w:sz w:val="22"/>
        </w:rPr>
        <w:t>O IQR é mais resistente a distribuições "tortas" (assimétricas), muito comuns em dados ambientais (a maioria das medições é baixa, mas ocasionalmente aparece um valor bem alto). Em vez de usar a média e o desvio-padrão (que um único valor extremo já distorce), o método olha só para os 50% centrais dos dados (entre o 1º e o 3º quartil, os mesmos usados no boxplot do Capítulo 5) e marca como "outlier moderado" qualquer ponto mais de 1,5 vezes essa largura central acima ou abaixo dela.</w:t>
      </w:r>
    </w:p>
    <w:tbl>
      <w:tblPr>
        <w:tblW w:type="auto" w:w="0"/>
        <w:tblLook w:firstColumn="1" w:firstRow="1" w:lastColumn="0" w:lastRow="0" w:noHBand="0" w:noVBand="1" w:val="04A0"/>
      </w:tblPr>
      <w:tblGrid>
        <w:gridCol w:w="8640"/>
      </w:tblGrid>
      <w:tr>
        <w:tc>
          <w:tcPr>
            <w:tcW w:type="dxa" w:w="8640"/>
            <w:shd w:fill="EAF1FB"/>
          </w:tcPr>
          <w:p>
            <w:r/>
            <w:r>
              <w:rPr>
                <w:b/>
                <w:color w:val="2A78D6"/>
                <w:sz w:val="18"/>
              </w:rPr>
              <w:t>POR QUE OS DOIS MÉTODOS, E POR QUE DÃO NÚMEROS DIFERENTES</w:t>
            </w:r>
          </w:p>
          <w:p>
            <w:r>
              <w:rPr>
                <w:sz w:val="21"/>
              </w:rPr>
              <w:t>Nos nossos dados, o IQR sistematicamente encontrou MAIS outliers que o Z-score (ex.: Mercúrio Total: 0,95% por Z-score vs. 16,88% por IQR) — exatamente porque parâmetros ambientais têm distribuições de cauda longa que "inflam" a média e o desvio-padrão do Z-score, tornando-o menos sensível. Reportar os dois métodos lado a lado deixa claro que a escolha do método muda a conclusão, e que o IQR é o mais confiável aqui.</w:t>
            </w:r>
          </w:p>
        </w:tc>
      </w:tr>
    </w:tbl>
    <w:p>
      <w:pPr>
        <w:spacing w:after="40"/>
      </w:pPr>
    </w:p>
    <w:p>
      <w:pPr>
        <w:pStyle w:val="Heading1"/>
      </w:pPr>
      <w:r>
        <w:t>13. Machine Learning: ensinando um algoritmo a prever a qualidade da água</w:t>
      </w:r>
    </w:p>
    <w:p>
      <w:pPr>
        <w:spacing w:after="120"/>
      </w:pPr>
      <w:r>
        <w:rPr>
          <w:b w:val="0"/>
          <w:i w:val="0"/>
          <w:sz w:val="22"/>
        </w:rPr>
        <w:t>Nos capítulos anteriores, cada análise usa uma fórmula matemática direta. A partir daqui, entramos em algoritmos que "aprendem" um padrão a partir de exemplos — em vez de programar a regra, mostramos milhares de exemplos reais ("quando a vazão era X e o carbono orgânico era Y, o Oxigênio Dissolvido medido foi Z") e o algoritmo encontra sozinho os padrões que ligam as entradas à saída.</w:t>
      </w:r>
    </w:p>
    <w:p>
      <w:pPr>
        <w:pStyle w:val="Heading3"/>
      </w:pPr>
      <w:r>
        <w:t>Árvore de decisão (o bloco de construção)</w:t>
      </w:r>
    </w:p>
    <w:p>
      <w:r>
        <w:rPr>
          <w:i/>
          <w:color w:val="6B6F68"/>
          <w:sz w:val="18"/>
        </w:rPr>
        <w:t>Implementado em: models/ml/train.py, eda_12/13/14</w:t>
      </w:r>
    </w:p>
    <w:p>
      <w:pPr>
        <w:spacing w:after="120"/>
      </w:pPr>
      <w:r>
        <w:rPr>
          <w:b w:val="0"/>
          <w:i w:val="0"/>
          <w:sz w:val="22"/>
        </w:rPr>
        <w:t>Antes do Random Forest, vale entender a árvore de decisão isolada: um fluxograma de perguntas do tipo "a vazão é maior que 50 m³/s?" — se sim, vá para a pergunta seguinte à direita; se não, siga à esquerda. Depois de várias perguntas em sequência, chega-se a uma estimativa final. O problema de uma árvore sozinha é que ela tende a "decorar" os dados de treino em vez de aprender um padrão geral (chamamos isso de overfitting).</w:t>
      </w:r>
    </w:p>
    <w:p>
      <w:pPr>
        <w:pStyle w:val="Heading3"/>
      </w:pPr>
      <w:r>
        <w:t>Random Forest ("floresta aleatória")</w:t>
      </w:r>
    </w:p>
    <w:p>
      <w:r>
        <w:rPr>
          <w:i/>
          <w:color w:val="6B6F68"/>
          <w:sz w:val="18"/>
        </w:rPr>
        <w:t>Implementado em: models/ml/train.py, eda_12_ml_optico.py, eda_13_generalizacao.py, eda_14_causas_turbidez.py</w:t>
      </w:r>
    </w:p>
    <w:p>
      <w:pPr>
        <w:spacing w:after="120"/>
      </w:pPr>
      <w:r>
        <w:rPr>
          <w:b w:val="0"/>
          <w:i w:val="0"/>
          <w:sz w:val="22"/>
        </w:rPr>
        <w:t>A solução: em vez de UMA árvore, treinamos CENTENAS delas, cada uma vendo um subconjunto ligeiramente diferente e aleatório dos dados e das perguntas possíveis. No final, a previsão é a MÉDIA (ou o voto da maioria) de todas as árvores. É a mesma lógica de perguntar a opinião de 300 especialistas independentes em vez de confiar em um só — erros individuais tendem a se cancelar, e o resultado do grupo costuma ser mais confiável e generalizar melhor para dados novos.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Modelo (arquivo)</w:t>
            </w:r>
          </w:p>
        </w:tc>
        <w:tc>
          <w:tcPr>
            <w:tcW w:type="dxa" w:w="2160"/>
          </w:tcPr>
          <w:p>
            <w:r/>
            <w:r>
              <w:rPr>
                <w:b/>
                <w:sz w:val="18"/>
              </w:rPr>
              <w:t>Nº de árvores</w:t>
            </w:r>
          </w:p>
        </w:tc>
        <w:tc>
          <w:tcPr>
            <w:tcW w:type="dxa" w:w="2160"/>
          </w:tcPr>
          <w:p>
            <w:r/>
            <w:r>
              <w:rPr>
                <w:b/>
                <w:sz w:val="18"/>
              </w:rPr>
              <w:t>Profundidade máx.</w:t>
            </w:r>
          </w:p>
        </w:tc>
        <w:tc>
          <w:tcPr>
            <w:tcW w:type="dxa" w:w="2160"/>
          </w:tcPr>
          <w:p>
            <w:r/>
            <w:r>
              <w:rPr>
                <w:b/>
                <w:sz w:val="18"/>
              </w:rPr>
              <w:t>O que prevê</w:t>
            </w:r>
          </w:p>
        </w:tc>
      </w:tr>
      <w:tr>
        <w:tc>
          <w:tcPr>
            <w:tcW w:type="dxa" w:w="2160"/>
          </w:tcPr>
          <w:p>
            <w:r/>
            <w:r>
              <w:rPr>
                <w:sz w:val="19"/>
              </w:rPr>
              <w:t>IQA/OD de produção — 6 modelos, 1 por trecho (train.py)</w:t>
            </w:r>
          </w:p>
        </w:tc>
        <w:tc>
          <w:tcPr>
            <w:tcW w:type="dxa" w:w="2160"/>
          </w:tcPr>
          <w:p>
            <w:r/>
            <w:r>
              <w:rPr>
                <w:sz w:val="19"/>
              </w:rPr>
              <w:t>ajustado por trecho*</w:t>
            </w:r>
          </w:p>
        </w:tc>
        <w:tc>
          <w:tcPr>
            <w:tcW w:type="dxa" w:w="2160"/>
          </w:tcPr>
          <w:p>
            <w:r/>
            <w:r>
              <w:rPr>
                <w:sz w:val="19"/>
              </w:rPr>
              <w:t>ajustado por trecho*</w:t>
            </w:r>
          </w:p>
        </w:tc>
        <w:tc>
          <w:tcPr>
            <w:tcW w:type="dxa" w:w="2160"/>
          </w:tcPr>
          <w:p>
            <w:r/>
            <w:r>
              <w:rPr>
                <w:sz w:val="19"/>
              </w:rPr>
              <w:t>IQA e OD anuais, um modelo por trecho</w:t>
            </w:r>
          </w:p>
        </w:tc>
      </w:tr>
      <w:tr>
        <w:tc>
          <w:tcPr>
            <w:tcW w:type="dxa" w:w="2160"/>
          </w:tcPr>
          <w:p>
            <w:r/>
            <w:r>
              <w:rPr>
                <w:sz w:val="19"/>
              </w:rPr>
              <w:t>OD a partir de proxy óptico (eda_12)</w:t>
            </w:r>
          </w:p>
        </w:tc>
        <w:tc>
          <w:tcPr>
            <w:tcW w:type="dxa" w:w="2160"/>
          </w:tcPr>
          <w:p>
            <w:r/>
            <w:r>
              <w:rPr>
                <w:sz w:val="19"/>
              </w:rPr>
              <w:t>300</w:t>
            </w:r>
          </w:p>
        </w:tc>
        <w:tc>
          <w:tcPr>
            <w:tcW w:type="dxa" w:w="2160"/>
          </w:tcPr>
          <w:p>
            <w:r/>
            <w:r>
              <w:rPr>
                <w:sz w:val="19"/>
              </w:rPr>
              <w:t>6</w:t>
            </w:r>
          </w:p>
        </w:tc>
        <w:tc>
          <w:tcPr>
            <w:tcW w:type="dxa" w:w="2160"/>
          </w:tcPr>
          <w:p>
            <w:r/>
            <w:r>
              <w:rPr>
                <w:sz w:val="19"/>
              </w:rPr>
              <w:t>OD/DBO/Fósforo/N-Amoniacal a partir de Carbono Orgânico</w:t>
            </w:r>
          </w:p>
        </w:tc>
      </w:tr>
      <w:tr>
        <w:tc>
          <w:tcPr>
            <w:tcW w:type="dxa" w:w="2160"/>
          </w:tcPr>
          <w:p>
            <w:r/>
            <w:r>
              <w:rPr>
                <w:sz w:val="19"/>
              </w:rPr>
              <w:t>Generalização espaço-temporal (eda_13)</w:t>
            </w:r>
          </w:p>
        </w:tc>
        <w:tc>
          <w:tcPr>
            <w:tcW w:type="dxa" w:w="2160"/>
          </w:tcPr>
          <w:p>
            <w:r/>
            <w:r>
              <w:rPr>
                <w:sz w:val="19"/>
              </w:rPr>
              <w:t>300</w:t>
            </w:r>
          </w:p>
        </w:tc>
        <w:tc>
          <w:tcPr>
            <w:tcW w:type="dxa" w:w="2160"/>
          </w:tcPr>
          <w:p>
            <w:r/>
            <w:r>
              <w:rPr>
                <w:sz w:val="19"/>
              </w:rPr>
              <w:t>6</w:t>
            </w:r>
          </w:p>
        </w:tc>
        <w:tc>
          <w:tcPr>
            <w:tcW w:type="dxa" w:w="2160"/>
          </w:tcPr>
          <w:p>
            <w:r/>
            <w:r>
              <w:rPr>
                <w:sz w:val="19"/>
              </w:rPr>
              <w:t>OD, testado fora do trecho/estação de treino</w:t>
            </w:r>
          </w:p>
        </w:tc>
      </w:tr>
      <w:tr>
        <w:tc>
          <w:tcPr>
            <w:tcW w:type="dxa" w:w="2160"/>
          </w:tcPr>
          <w:p>
            <w:r/>
            <w:r>
              <w:rPr>
                <w:sz w:val="19"/>
              </w:rPr>
              <w:t>Causas da turbidez (eda_14)</w:t>
            </w:r>
          </w:p>
        </w:tc>
        <w:tc>
          <w:tcPr>
            <w:tcW w:type="dxa" w:w="2160"/>
          </w:tcPr>
          <w:p>
            <w:r/>
            <w:r>
              <w:rPr>
                <w:sz w:val="19"/>
              </w:rPr>
              <w:t>400</w:t>
            </w:r>
          </w:p>
        </w:tc>
        <w:tc>
          <w:tcPr>
            <w:tcW w:type="dxa" w:w="2160"/>
          </w:tcPr>
          <w:p>
            <w:r/>
            <w:r>
              <w:rPr>
                <w:sz w:val="19"/>
              </w:rPr>
              <w:t>6</w:t>
            </w:r>
          </w:p>
        </w:tc>
        <w:tc>
          <w:tcPr>
            <w:tcW w:type="dxa" w:w="2160"/>
          </w:tcPr>
          <w:p>
            <w:r/>
            <w:r>
              <w:rPr>
                <w:sz w:val="19"/>
              </w:rPr>
              <w:t>Turbidez a partir de hidrologia, nutrientes e metais</w:t>
            </w:r>
          </w:p>
        </w:tc>
      </w:tr>
      <w:tr>
        <w:tc>
          <w:tcPr>
            <w:tcW w:type="dxa" w:w="2160"/>
          </w:tcPr>
          <w:p>
            <w:r/>
            <w:r>
              <w:rPr>
                <w:sz w:val="19"/>
              </w:rPr>
              <w:t>Status ecológico (eda_08, classificador)</w:t>
            </w:r>
          </w:p>
        </w:tc>
        <w:tc>
          <w:tcPr>
            <w:tcW w:type="dxa" w:w="2160"/>
          </w:tcPr>
          <w:p>
            <w:r/>
            <w:r>
              <w:rPr>
                <w:sz w:val="19"/>
              </w:rPr>
              <w:t>300</w:t>
            </w:r>
          </w:p>
        </w:tc>
        <w:tc>
          <w:tcPr>
            <w:tcW w:type="dxa" w:w="2160"/>
          </w:tcPr>
          <w:p>
            <w:r/>
            <w:r>
              <w:rPr>
                <w:sz w:val="19"/>
              </w:rPr>
              <w:t>8</w:t>
            </w:r>
          </w:p>
        </w:tc>
        <w:tc>
          <w:tcPr>
            <w:tcW w:type="dxa" w:w="2160"/>
          </w:tcPr>
          <w:p>
            <w:r/>
            <w:r>
              <w:rPr>
                <w:sz w:val="19"/>
              </w:rPr>
              <w:t>Categoria Bom/Atenção/Sério/Crítico</w:t>
            </w:r>
          </w:p>
        </w:tc>
      </w:tr>
    </w:tbl>
    <w:p/>
    <w:p>
      <w:pPr>
        <w:spacing w:after="120"/>
      </w:pPr>
      <w:r>
        <w:rPr>
          <w:b w:val="0"/>
          <w:i w:val="0"/>
          <w:sz w:val="22"/>
        </w:rPr>
        <w:t>* Desde a correção descrita no Capítulo 13.1 (busca de hiperparâmetros), os modelos de produção não usam mais um número fixo de árvores/profundidade — cada um dos 6 (3 trechos × IQA/OD) tem seus próprios melhores valores, escolhidos automaticamente por `GridSearchCV` e registrados no log de treino a cada execução de `python -m waterweave.models.ml.train`.</w:t>
      </w:r>
    </w:p>
    <w:p>
      <w:pPr>
        <w:pStyle w:val="Heading3"/>
      </w:pPr>
      <w:r>
        <w:t>Busca em grade de hiperparâmetros (GridSearchCV)</w:t>
      </w:r>
    </w:p>
    <w:p>
      <w:r>
        <w:rPr>
          <w:i/>
          <w:color w:val="6B6F68"/>
          <w:sz w:val="18"/>
        </w:rPr>
        <w:t>Implementado em: models/ml/train.py</w:t>
      </w:r>
    </w:p>
    <w:p>
      <w:pPr>
        <w:spacing w:after="120"/>
      </w:pPr>
      <w:r>
        <w:rPr>
          <w:b w:val="0"/>
          <w:i w:val="0"/>
          <w:sz w:val="22"/>
        </w:rPr>
        <w:t>Random Forest e XGBoost têm vários "botões" que o programador precisa ajustar antes de treinar — quantas árvores usar, quão profunda cada árvore pode ficar, quantas variáveis cada árvore pode olhar por decisão. Escolher esses valores "no olho" (como a versão anterior deste projeto fazia, com 200 árvores e profundidade 8 fixos para todo mundo) é como ajustar o forno num palpite em vez de testar temperaturas até achar a que assa melhor aquele bolo específico.</w:t>
      </w:r>
    </w:p>
    <w:p>
      <w:pPr>
        <w:spacing w:after="120"/>
      </w:pPr>
      <w:r>
        <w:rPr>
          <w:b w:val="0"/>
          <w:i w:val="0"/>
          <w:sz w:val="22"/>
        </w:rPr>
        <w:t>O `GridSearchCV` testa sistematicamente uma grade de combinações (por exemplo: 100, 200 ou 300 árvores × profundidade 3, 4, 6 ou sem limite × 3 opções de quantas variáveis por decisão × 3 tamanhos mínimos de folha — mais de 100 combinações) usando validação cruzada: para cada combinação, divide os dados de treino em 5 pedaços ("folds"), treina em 4 e testa no 5º, repete 5 vezes trocando qual pedaço fica de fora, e tira a média do erro. A combinação com menor erro médio nos 5 testes é a escolhida — sem nunca ter visto o conjunto de teste real, que fica reservado para a avaliação final, imparcial.</w:t>
      </w:r>
    </w:p>
    <w:tbl>
      <w:tblPr>
        <w:tblW w:type="auto" w:w="0"/>
        <w:tblLook w:firstColumn="1" w:firstRow="1" w:lastColumn="0" w:lastRow="0" w:noHBand="0" w:noVBand="1" w:val="04A0"/>
      </w:tblPr>
      <w:tblGrid>
        <w:gridCol w:w="8640"/>
      </w:tblGrid>
      <w:tr>
        <w:tc>
          <w:tcPr>
            <w:tcW w:type="dxa" w:w="8640"/>
            <w:shd w:fill="EAF1FB"/>
          </w:tcPr>
          <w:p>
            <w:r/>
            <w:r>
              <w:rPr>
                <w:b/>
                <w:color w:val="2A78D6"/>
                <w:sz w:val="18"/>
              </w:rPr>
              <w:t>POR QUE ISSO IMPORTA MAIS EM DATASETS PEQUENOS</w:t>
            </w:r>
          </w:p>
          <w:p>
            <w:r>
              <w:rPr>
                <w:sz w:val="21"/>
              </w:rPr>
              <w:t>Com só ~65 anos de treino por trecho, uma única divisão treino/teste pode, por sorte ou azar, favorecer um conjunto específico de hiperparâmetros que não generaliza. A validação cruzada de 5 folds testa cada combinação em 5 divisões diferentes dos MESMOS dados de treino antes de decidir, reduzindo a chance de escolher hiperparâmetros que só funcionam por coincidência de amostragem.</w:t>
            </w:r>
          </w:p>
        </w:tc>
      </w:tr>
    </w:tbl>
    <w:p>
      <w:pPr>
        <w:spacing w:after="40"/>
      </w:pPr>
    </w:p>
    <w:p>
      <w:pPr>
        <w:pStyle w:val="Heading3"/>
      </w:pPr>
      <w:r>
        <w:t>XGBoost ("gradient boosting")</w:t>
      </w:r>
    </w:p>
    <w:p>
      <w:r>
        <w:rPr>
          <w:i/>
          <w:color w:val="6B6F68"/>
          <w:sz w:val="18"/>
        </w:rPr>
        <w:t>Implementado em: eda_12_ml_optico.py</w:t>
      </w:r>
    </w:p>
    <w:p>
      <w:pPr>
        <w:spacing w:after="120"/>
      </w:pPr>
      <w:r>
        <w:rPr>
          <w:b w:val="0"/>
          <w:i w:val="0"/>
          <w:sz w:val="22"/>
        </w:rPr>
        <w:t>XGBoost também combina muitas árvores, mas de um jeito diferente do Random Forest: em vez de treinar todas ao mesmo tempo de forma independente, ele treina uma árvore, olha ONDE ela errou mais, e treina a próxima árvore focada em corrigir justamente esses erros — e assim sucessivamente, uma corrigindo a anterior. É como um grupo de revisores de texto trabalhando em sequência: o primeiro corrige o que consegue, o segundo foca só nos erros que sobraram, o terceiro nos que sobraram depois disso. Usamos os dois algoritmos lado a lado nos modelos ópticos (Capítulo 22 do relatório de achados) exatamente para comparar — e o Random Forest levou vantagem nos quatro casos testados, provavelmente porque o volume de dados disponível (algumas centenas de linhas) favorece um método menos propenso a se ajustar demais aos detalhes do treino.</w:t>
      </w:r>
    </w:p>
    <w:p>
      <w:pPr>
        <w:pStyle w:val="Heading3"/>
      </w:pPr>
      <w:r>
        <w:t>Como avaliamos se um modelo é bom: MAE, R² e a divisão treino/teste por ano</w:t>
      </w:r>
    </w:p>
    <w:p>
      <w:r>
        <w:rPr>
          <w:i/>
          <w:color w:val="6B6F68"/>
          <w:sz w:val="18"/>
        </w:rPr>
        <w:t>Implementado em: models/ml/train.py</w:t>
      </w:r>
    </w:p>
    <w:p>
      <w:pPr>
        <w:pStyle w:val="ListBullet"/>
      </w:pPr>
      <w:r>
        <w:rPr>
          <w:sz w:val="21"/>
        </w:rPr>
        <w:t>MAE (Erro Absoluto Médio): em média, o quanto a previsão erra, na mesma unidade do dado original (ex.: "erra em média 1,24 mg/L de Oxigênio Dissolvido") — fácil de interpretar diretamente.</w:t>
      </w:r>
    </w:p>
    <w:p>
      <w:pPr>
        <w:pStyle w:val="ListBullet"/>
      </w:pPr>
      <w:r>
        <w:rPr>
          <w:sz w:val="21"/>
        </w:rPr>
        <w:t>R² ("R ao quadrado"): vai de 0 a 1 (podendo ficar negativo se o modelo for pior que simplesmente "chutar" a média) e mede que fração da variação total dos dados o modelo consegue explicar. R²=0,64 significa que o modelo explica 64% da variação observada; o resto é ruído ou fatores não capturados.</w:t>
      </w:r>
    </w:p>
    <w:p>
      <w:pPr>
        <w:pStyle w:val="ListBullet"/>
      </w:pPr>
      <w:r>
        <w:rPr>
          <w:sz w:val="21"/>
        </w:rPr>
        <w:t>Divisão treino/teste POR ANO, não aleatória: todo modelo é treinado só com dados até 2014 e testado só com dados de 2015 em diante — nunca deixamos o modelo "ver" o futuro durante o treino. Isso simula a situação real de uso (prever o futuro a partir do passado), diferente de uma divisão aleatória, que deixaria informação do futuro vazar para o treino.</w:t>
      </w:r>
    </w:p>
    <w:p>
      <w:pPr>
        <w:pStyle w:val="ListBullet"/>
      </w:pPr>
      <w:r>
        <w:rPr>
          <w:sz w:val="21"/>
        </w:rPr>
        <w:t>Baseline de persistência ("previsto = valor do ano passado"): um modelo só é considerado útil se reduzir o erro desse palpite trivial em pelo menos 5% — ver Capítulo 14 para o que isso revelou de diferente entre os 3 trechos do rio.</w:t>
      </w:r>
    </w:p>
    <w:p>
      <w:pPr>
        <w:pStyle w:val="Heading1"/>
      </w:pPr>
      <w:r>
        <w:t>14. Abrindo a "caixa-preta": SHAP e Inteligência Artificial Explicável</w:t>
      </w:r>
    </w:p>
    <w:p>
      <w:pPr>
        <w:pStyle w:val="Heading3"/>
      </w:pPr>
      <w:r>
        <w:t>SHAP — SHapley Additive exPlanations (biblioteca shap, TreeExplainer)</w:t>
      </w:r>
    </w:p>
    <w:p>
      <w:r>
        <w:rPr>
          <w:i/>
          <w:color w:val="6B6F68"/>
          <w:sz w:val="18"/>
        </w:rPr>
        <w:t>Implementado em: models/ml/shap_analysis.py, eda_08, eda_12, eda_14</w:t>
      </w:r>
    </w:p>
    <w:p>
      <w:pPr>
        <w:spacing w:after="120"/>
      </w:pPr>
      <w:r>
        <w:rPr>
          <w:b w:val="0"/>
          <w:i w:val="0"/>
          <w:sz w:val="22"/>
        </w:rPr>
        <w:t>Um Random Forest com 300 árvores é preciso, mas é opaco: ele dá uma previsão, mas não diz "por quê". O SHAP resolve isso reformulando a pergunta: "para ESTA previsão específica, o quanto cada variável de entrada empurrou o resultado para cima ou para baixo, em relação à previsão média?"</w:t>
      </w:r>
    </w:p>
    <w:p>
      <w:pPr>
        <w:spacing w:after="120"/>
      </w:pPr>
      <w:r>
        <w:rPr>
          <w:b w:val="0"/>
          <w:i w:val="0"/>
          <w:sz w:val="22"/>
        </w:rPr>
        <w:t>A analogia mais usada é a de dividir a conta de um jantar em grupo: se a conta total foi maior que a média esperada, o SHAP calcula, de forma matematicamente justa (baseada numa ideia da teoria dos jogos chamada valor de Shapley), o quanto cada prato individual contribuiu para esse excesso — um prato pode ter "puxado" a conta para cima, outro para baixo, e a soma de todas as contribuições bate exatamente com a diferença real. Aplicado aqui: para uma previsão de Oxigênio Dissolvido muito abaixo da média, o SHAP nos diz, por exemplo, "o Carbono Orgânico Total alto empurrou a previsão para baixo em 1,3 mg/L; a vazão baixa empurrou mais 0,4 mg/L para baixo".</w:t>
      </w:r>
    </w:p>
    <w:p>
      <w:pPr>
        <w:spacing w:after="120"/>
      </w:pPr>
      <w:r>
        <w:rPr>
          <w:b w:val="0"/>
          <w:i w:val="0"/>
          <w:sz w:val="22"/>
        </w:rPr>
        <w:t>Repetindo esse cálculo para centenas de previsões e somando a magnitude média de cada variável, obtemos o "gráfico de importância SHAP" usado em todos os relatórios — um ranking de quais variáveis mais pesam nas decisões do modelo, no geral.</w:t>
      </w:r>
    </w:p>
    <w:tbl>
      <w:tblPr>
        <w:tblW w:type="auto" w:w="0"/>
        <w:tblLook w:firstColumn="1" w:firstRow="1" w:lastColumn="0" w:lastRow="0" w:noHBand="0" w:noVBand="1" w:val="04A0"/>
      </w:tblPr>
      <w:tblGrid>
        <w:gridCol w:w="8640"/>
      </w:tblGrid>
      <w:tr>
        <w:tc>
          <w:tcPr>
            <w:tcW w:type="dxa" w:w="8640"/>
            <w:shd w:fill="EAF1FB"/>
          </w:tcPr>
          <w:p>
            <w:r/>
            <w:r>
              <w:rPr>
                <w:b/>
                <w:color w:val="2A78D6"/>
                <w:sz w:val="18"/>
              </w:rPr>
              <w:t>POR QUE ISSO IMPORTA MAIS DO QUE PARECE</w:t>
            </w:r>
          </w:p>
          <w:p>
            <w:r>
              <w:rPr>
                <w:sz w:val="21"/>
              </w:rPr>
              <w:t>Um modelo pode ter boa precisão (R² alto) usando uma variável que só parece relevante por coincidência estatística (correlação espúria), sem nenhum motivo real por trás. O SHAP é a ferramenta que usamos para checar se a relação faz sentido do ponto de vista da limnologia/hidrologia — por exemplo, confirmamos que o Carbono Orgânico Total (e não a identidade do trecho do rio) é o fator realmente dominante nos modelos de proxy óptico (Capítulo 22 do relatório de achados), o que valida que o sinal é real, não um artefato.</w:t>
            </w:r>
          </w:p>
        </w:tc>
      </w:tr>
    </w:tbl>
    <w:p>
      <w:pPr>
        <w:spacing w:after="40"/>
      </w:pPr>
    </w:p>
    <w:tbl>
      <w:tblPr>
        <w:tblW w:type="auto" w:w="0"/>
        <w:tblLook w:firstColumn="1" w:firstRow="1" w:lastColumn="0" w:lastRow="0" w:noHBand="0" w:noVBand="1" w:val="04A0"/>
      </w:tblPr>
      <w:tblGrid>
        <w:gridCol w:w="8640"/>
      </w:tblGrid>
      <w:tr>
        <w:tc>
          <w:tcPr>
            <w:tcW w:type="dxa" w:w="8640"/>
            <w:shd w:fill="EAF1FB"/>
          </w:tcPr>
          <w:p>
            <w:r/>
            <w:r>
              <w:rPr>
                <w:b/>
                <w:color w:val="2A78D6"/>
                <w:sz w:val="18"/>
              </w:rPr>
              <w:t>UM CASO REAL ONDE ISSO MUDOU A CONCLUSÃO</w:t>
            </w:r>
          </w:p>
          <w:p>
            <w:r>
              <w:rPr>
                <w:sz w:val="21"/>
              </w:rPr>
              <w:t>Os modelos de produção de IQA/OD (Capítulo 13.1) inicialmente pareciam muito bons (R²=0,89-0,94) com um único modelo para o rio inteiro. Ao trocar para um modelo por trecho — a correção certa, já que generalização entre trechos comprovadamente falha (Capítulo 16) — o R² caiu para negativo em 4 dos 6 casos, e o Alto Tietê deixou de bater até o palpite trivial "repita o ano passado". O SHAP do modelo pooled não mostrava a identidade do trecho como a variável mais importante, mas a diferença de nível entre trechos ainda inflava o R² por trás dos panos — um lembrete de que nenhuma ferramenta isolada (nem SHAP, nem R²) substitui testar deliberadamente o cenário que você realmente quer usar (aqui, prever um trecho específico, não o rio genérico).</w:t>
            </w:r>
          </w:p>
        </w:tc>
      </w:tr>
    </w:tbl>
    <w:p>
      <w:pPr>
        <w:spacing w:after="40"/>
      </w:pPr>
    </w:p>
    <w:p>
      <w:pPr>
        <w:pStyle w:val="Heading1"/>
      </w:pPr>
      <w:r>
        <w:t>15. Machine Learning para classificação: status do rio e matriz de confusão</w:t>
      </w:r>
    </w:p>
    <w:p>
      <w:pPr>
        <w:pStyle w:val="Heading3"/>
      </w:pPr>
      <w:r>
        <w:t>RandomForestClassifier</w:t>
      </w:r>
    </w:p>
    <w:p>
      <w:r>
        <w:rPr>
          <w:i/>
          <w:color w:val="6B6F68"/>
          <w:sz w:val="18"/>
        </w:rPr>
        <w:t>Implementado em: eda_08_shap_confusao.py</w:t>
      </w:r>
    </w:p>
    <w:p>
      <w:pPr>
        <w:spacing w:after="120"/>
      </w:pPr>
      <w:r>
        <w:rPr>
          <w:b w:val="0"/>
          <w:i w:val="0"/>
          <w:sz w:val="22"/>
        </w:rPr>
        <w:t>Até aqui, todos os modelos preveem um NÚMERO (regressão): quanto de OD, quanto de DBO. Um classificador prevê uma CATEGORIA: neste caso, se o trecho do rio está em status Bom, Atenção, Sério ou Crítico (limiares de IQA já usados no dashboard do projeto). O algoritmo por dentro é o mesmo Random Forest do Capítulo 13 — muda só a pergunta final de cada árvore ("qual categoria?" em vez de "qual número?").</w:t>
      </w:r>
    </w:p>
    <w:p>
      <w:pPr>
        <w:pStyle w:val="Heading3"/>
      </w:pPr>
      <w:r>
        <w:t>Matriz de confusão</w:t>
      </w:r>
    </w:p>
    <w:p>
      <w:r>
        <w:rPr>
          <w:i/>
          <w:color w:val="6B6F68"/>
          <w:sz w:val="18"/>
        </w:rPr>
        <w:t>Implementado em: eda_08_shap_confusao.py</w:t>
      </w:r>
    </w:p>
    <w:p>
      <w:pPr>
        <w:spacing w:after="120"/>
      </w:pPr>
      <w:r>
        <w:rPr>
          <w:b w:val="0"/>
          <w:i w:val="0"/>
          <w:sz w:val="22"/>
        </w:rPr>
        <w:t>A forma mais direta de avaliar um classificador: uma tabela que cruza o que o modelo PREVIU com o que realmente ACONTECEU. A diagonal principal mostra os acertos; fora da diagonal, mostra os tipos específicos de erro (por exemplo, quantas vezes o modelo previu "Sério" quando na verdade era "Crítico"). É mais informativa que um único número de acurácia porque revela ONDE o modelo erra mais — no nosso caso, a classe "Atenção" (o estágio intermediário de transição) é a mais confundida, o que faz sentido: fronteiras entre categorias vizinhas são sempre as mais difíceis de acertar.</w:t>
      </w:r>
    </w:p>
    <w:p>
      <w:pPr>
        <w:pStyle w:val="Heading1"/>
      </w:pPr>
      <w:r>
        <w:t>16. Um modelo treinado aqui funciona ali? Testes de generalização</w:t>
      </w:r>
    </w:p>
    <w:p>
      <w:pPr>
        <w:pStyle w:val="Heading3"/>
      </w:pPr>
      <w:r>
        <w:t>Validação cruzada espacial e temporal (treino num grupo, teste em outro)</w:t>
      </w:r>
    </w:p>
    <w:p>
      <w:r>
        <w:rPr>
          <w:i/>
          <w:color w:val="6B6F68"/>
          <w:sz w:val="18"/>
        </w:rPr>
        <w:t>Implementado em: eda_13_generalizacao.py</w:t>
      </w:r>
    </w:p>
    <w:p>
      <w:pPr>
        <w:spacing w:after="120"/>
      </w:pPr>
      <w:r>
        <w:rPr>
          <w:b w:val="0"/>
          <w:i w:val="0"/>
          <w:sz w:val="22"/>
        </w:rPr>
        <w:t>Um modelo pode ter ótimo desempenho nos dados que ele já viu (ou em dados muito parecidos) e mesmo assim falhar completamente em uma situação nova. A única forma de saber se isso acontece é testar diretamente: treinamos o modelo usando SÓ os dados de um trecho do rio (ou de uma estação do ano) e o testamos usando SÓ os dados de outro trecho (ou outra estação) — sem nenhuma sobreposição entre quem ensinou e quem avaliou o modelo.</w:t>
      </w:r>
    </w:p>
    <w:p>
      <w:pPr>
        <w:spacing w:after="120"/>
      </w:pPr>
      <w:r>
        <w:rPr>
          <w:b w:val="0"/>
          <w:i w:val="0"/>
          <w:sz w:val="22"/>
        </w:rPr>
        <w:t>É equivalente a estudar para uma prova usando só exercícios de uma escola específica, e depois fazer a prova de verdade em outra escola, com outro estilo de questão — se a nota cair muito, é sinal de que o aprendizado não era realmente geral, só um "decoreba" do estilo daquela escola específica.</w:t>
      </w:r>
    </w:p>
    <w:p>
      <w:pPr>
        <w:spacing w:after="120"/>
      </w:pPr>
      <w:r>
        <w:rPr>
          <w:b w:val="0"/>
          <w:i w:val="0"/>
          <w:sz w:val="22"/>
        </w:rPr>
        <w:t>Para servir de comparação justa, calculamos também uma referência "dentro do mesmo grupo": treinar e testar dentro do mesmo trecho (ou da mesma estação), mas com uma separação aleatória entre os dados de treino e teste — assim garantimos que uma queda de desempenho no teste cruzado reflete de fato uma falha de generalização, e não apenas o modelo ser fraco em geral.</w:t>
      </w:r>
    </w:p>
    <w:tbl>
      <w:tblPr>
        <w:tblW w:type="auto" w:w="0"/>
        <w:tblLook w:firstColumn="1" w:firstRow="1" w:lastColumn="0" w:lastRow="0" w:noHBand="0" w:noVBand="1" w:val="04A0"/>
      </w:tblPr>
      <w:tblGrid>
        <w:gridCol w:w="8640"/>
      </w:tblGrid>
      <w:tr>
        <w:tc>
          <w:tcPr>
            <w:tcW w:type="dxa" w:w="8640"/>
            <w:shd w:fill="EAF1FB"/>
          </w:tcPr>
          <w:p>
            <w:r/>
            <w:r>
              <w:rPr>
                <w:b/>
                <w:color w:val="2A78D6"/>
                <w:sz w:val="18"/>
              </w:rPr>
              <w:t>O QUE DESCOBRIMOS AO APLICAR ESTE TESTE</w:t>
            </w:r>
          </w:p>
          <w:p>
            <w:r>
              <w:rPr>
                <w:sz w:val="21"/>
              </w:rPr>
              <w:t>O modelo de Oxigênio Dissolvido a partir do proxy óptico tem desempenho real dentro do mesmo trecho (R² até 0,71) mas falha em TODA transferência entre trechos (R² sempre negativo, de -0,13 a -5,31) — evidência direta de que cada trecho do rio precisa de um modelo calibrado localmente. Entre estações do ano, o resultado é misto: transferir de estação seca para chuvosa falha, mas outras combinações mantêm algum poder preditivo. Ver Seção 23 do relatório de achados para a tabela completa.</w:t>
            </w:r>
          </w:p>
        </w:tc>
      </w:tr>
    </w:tbl>
    <w:p>
      <w:pPr>
        <w:spacing w:after="40"/>
      </w:pPr>
    </w:p>
    <w:p>
      <w:pPr>
        <w:pStyle w:val="Heading1"/>
      </w:pPr>
      <w:r>
        <w:t>17. Testando o modelo como se estivéssemos no passado: validação walk-forward</w:t>
      </w:r>
    </w:p>
    <w:p>
      <w:pPr>
        <w:spacing w:after="120"/>
      </w:pPr>
      <w:r>
        <w:rPr>
          <w:b w:val="0"/>
          <w:i w:val="0"/>
          <w:sz w:val="22"/>
        </w:rPr>
        <w:t>O Capítulo 13 já mostrou o problema de uma única divisão treino/teste: com pouco mais de 70 anos de dado por trecho, uma única "linha de corte" entre treino e teste pode, por acaso, cair num ponto favorável ou desfavorável — o resultado do modelo dependeria de sorte na escolha do corte, não só da sua qualidade real.</w:t>
      </w:r>
    </w:p>
    <w:p>
      <w:pPr>
        <w:pStyle w:val="Heading3"/>
      </w:pPr>
      <w:r>
        <w:t>Validação walk-forward / janela expansiva (models/ml/train.py)</w:t>
      </w:r>
    </w:p>
    <w:p>
      <w:r>
        <w:rPr>
          <w:i/>
          <w:color w:val="6B6F68"/>
          <w:sz w:val="18"/>
        </w:rPr>
        <w:t>Implementado em: models/ml/train.py</w:t>
      </w:r>
    </w:p>
    <w:p>
      <w:pPr>
        <w:spacing w:after="120"/>
      </w:pPr>
      <w:r>
        <w:rPr>
          <w:b w:val="0"/>
          <w:i w:val="0"/>
          <w:sz w:val="22"/>
        </w:rPr>
        <w:t>A ideia é simular repetidamente a situação real de uso do modelo: "se eu estivesse no ano X, treinando só com o que já era conhecido até ali, quão bem eu teria previsto o ano X+1?" — e repetir essa pergunta para TODOS os anos recentes, não só uma vez.</w:t>
      </w:r>
    </w:p>
    <w:p>
      <w:pPr>
        <w:spacing w:after="120"/>
      </w:pPr>
      <w:r>
        <w:rPr>
          <w:b w:val="0"/>
          <w:i w:val="0"/>
          <w:sz w:val="22"/>
        </w:rPr>
        <w:t>Na prática: escolhemos um primeiro ano de teste (ex.: 2010). Treinamos o modelo usando só os anos ANTERIORES a 2010, e testamos a previsão para 2010. Depois avançamos um ano: treinamos com tudo até 2011 (incluindo 2010, que já "aconteceu"), testamos em 2011. E assim sucessivamente até o último ano disponível — 11 "dobras" (folds) de teste neste projeto, uma por ano. A cada dobra o treino cresce ("janela expansiva"), e o modelo NUNCA vê um ano futuro durante o próprio treino daquele fold — uma garantia verificada automaticamente por teste de software (test_walk_forward_nunca_vaza_ano_futuro_para_o_treino).</w:t>
      </w:r>
    </w:p>
    <w:tbl>
      <w:tblPr>
        <w:tblW w:type="auto" w:w="0"/>
        <w:tblLook w:firstColumn="1" w:firstRow="1" w:lastColumn="0" w:lastRow="0" w:noHBand="0" w:noVBand="1" w:val="04A0"/>
      </w:tblPr>
      <w:tblGrid>
        <w:gridCol w:w="8640"/>
      </w:tblGrid>
      <w:tr>
        <w:tc>
          <w:tcPr>
            <w:tcW w:type="dxa" w:w="8640"/>
            <w:shd w:fill="EAF1FB"/>
          </w:tcPr>
          <w:p>
            <w:r/>
            <w:r>
              <w:rPr>
                <w:b/>
                <w:color w:val="2A78D6"/>
                <w:sz w:val="18"/>
              </w:rPr>
              <w:t>UMA ANALOGIA</w:t>
            </w:r>
          </w:p>
          <w:p>
            <w:r>
              <w:rPr>
                <w:sz w:val="21"/>
              </w:rPr>
              <w:t>É a diferença entre um piloto de avião treinar num simulador que usa só o histórico de voos até ONTEM (realista) e um que, sem querer, deixasse o simulador "espiar" o relatório meteorológico de amanhã antes de decidir a rota de hoje (vazamento de informação do futuro — otimista demais, e inútil para prever o próximo voo de verdade).</w:t>
            </w:r>
          </w:p>
        </w:tc>
      </w:tr>
    </w:tbl>
    <w:p>
      <w:pPr>
        <w:spacing w:after="40"/>
      </w:pPr>
    </w:p>
    <w:p>
      <w:pPr>
        <w:spacing w:after="120"/>
      </w:pPr>
      <w:r>
        <w:rPr>
          <w:b w:val="0"/>
          <w:i w:val="0"/>
          <w:sz w:val="22"/>
        </w:rPr>
        <w:t>Como cada dobra de teste tem só 1 ano (1 ponto), o R² não é uma métrica válida ali (precisa de pelo menos 2 pontos para ter sentido estatístico) — usamos o MAE médio das 11 dobras e o "% de dobras em que o modelo supera a previsão ingênua" (repetir o valor do ano anterior) como as métricas de validação walk-forward. Ver Seção 15.1 do relatório de achados para os números reais: o Alto Tietê bate a previsão ingênua em só 36% dos anos testados, contra 82% no Médio Tietê (IQA) — o mesmo padrão de "o Alto Tietê é estruturalmente mais difícil de prever" já visto no split único, agora confirmado com 11 testes independentes em vez de 1.</w:t>
      </w:r>
    </w:p>
    <w:p>
      <w:pPr>
        <w:pStyle w:val="Heading1"/>
      </w:pPr>
      <w:r>
        <w:t>18. Buscando dado real por satélite: agregação no servidor (Google Earth Engine)</w:t>
      </w:r>
    </w:p>
    <w:p>
      <w:pPr>
        <w:spacing w:after="120"/>
      </w:pPr>
      <w:r>
        <w:rPr>
          <w:b w:val="0"/>
          <w:i w:val="0"/>
          <w:sz w:val="22"/>
        </w:rPr>
        <w:t>Os capítulos anteriores explicam o que fazemos COM o dado depois de ele já estar numa tabela. Este capítulo e o próximo explicam como dois tipos de dado real — uso do solo e sensoriamento remoto — chegam a essa tabela, a partir de um satélite, sem nunca baixar uma imagem inteira para o computador.</w:t>
      </w:r>
    </w:p>
    <w:p>
      <w:pPr>
        <w:pStyle w:val="Heading3"/>
      </w:pPr>
      <w:r>
        <w:t>Agregação espacial no servidor (reduceRegion)</w:t>
      </w:r>
    </w:p>
    <w:p>
      <w:r>
        <w:rPr>
          <w:i/>
          <w:color w:val="6B6F68"/>
          <w:sz w:val="18"/>
        </w:rPr>
        <w:t>Implementado em: ingestion/connectors/mapbiomas.py, ingestion/connectors/sensoriamento_historico.py</w:t>
      </w:r>
    </w:p>
    <w:p>
      <w:pPr>
        <w:spacing w:after="120"/>
      </w:pPr>
      <w:r>
        <w:rPr>
          <w:b w:val="0"/>
          <w:i w:val="0"/>
          <w:sz w:val="22"/>
        </w:rPr>
        <w:t>Uma imagem de satélite cobrindo até uma pequena área ao redor de uma estação de monitoramento já tem milhares de pixels — e o projeto precisa disso para ~90 combinações de ano/trecho/ponto ao longo de décadas. Baixar e processar cada imagem pixel a pixel no próprio computador seria lento e pesado. O Google Earth Engine resolve isso fazendo a conta DENTRO do próprio servidor do Google, que já guarda o arquivo de imagem: enviamos só a pergunta ("qual a área de cada classe de uso do solo dentro deste círculo de 5 km, neste ano?", ou "qual a média de NDVI dentro deste círculo, nesta data?") e recebemos de volta só o NÚMERO resultado — nunca a imagem bruta em si.</w:t>
      </w:r>
    </w:p>
    <w:tbl>
      <w:tblPr>
        <w:tblW w:type="auto" w:w="0"/>
        <w:tblLook w:firstColumn="1" w:firstRow="1" w:lastColumn="0" w:lastRow="0" w:noHBand="0" w:noVBand="1" w:val="04A0"/>
      </w:tblPr>
      <w:tblGrid>
        <w:gridCol w:w="8640"/>
      </w:tblGrid>
      <w:tr>
        <w:tc>
          <w:tcPr>
            <w:tcW w:type="dxa" w:w="8640"/>
            <w:shd w:fill="EAF1FB"/>
          </w:tcPr>
          <w:p>
            <w:r/>
            <w:r>
              <w:rPr>
                <w:b/>
                <w:color w:val="2A78D6"/>
                <w:sz w:val="18"/>
              </w:rPr>
              <w:t>UMA ANALOGIA</w:t>
            </w:r>
          </w:p>
          <w:p>
            <w:r>
              <w:rPr>
                <w:sz w:val="21"/>
              </w:rPr>
              <w:t>É a diferença entre pedir a um bibliotecário "me traga todos os livros da seção de história" (baixar a imagem inteira, pesado) e perguntar "quantos livros da seção de história falam sobre o século XIX?" (pedir só a CONTAGEM já pronta, que o bibliotecário calcula procurando nas prateleiras sem que você precise nem entrar na biblioteca). O `reduceRegion` é literalmente essa segunda pergunta, feita ao servidor do Earth Engine em vez de a um bibliotecário.</w:t>
            </w:r>
          </w:p>
        </w:tc>
      </w:tr>
    </w:tbl>
    <w:p>
      <w:pPr>
        <w:spacing w:after="40"/>
      </w:pPr>
    </w:p>
    <w:p>
      <w:pPr>
        <w:spacing w:after="120"/>
      </w:pPr>
      <w:r>
        <w:rPr>
          <w:b w:val="0"/>
          <w:i w:val="0"/>
          <w:sz w:val="22"/>
        </w:rPr>
        <w:t>Duas fontes usam essa técnica neste projeto: o MapBiomas (Coleção 9, uso do solo anual, 1985-2023) soma a área de cada classe (natural/agropecuária/urbano-industrial/água) dentro de um buffer de 5 km ao redor das estações reais de cada trecho; e o Landsat (Collection 2, séries 5/7/8/9, 1984-presente) calcula a MEDIANA anual de três índices espectrais (NDVI, temperatura de superfície, um proxy de turbidez) dentro de um buffer de 300 m ao redor de 7 pontos de monitoramento. Os dois resultaram em dado real e verificado: 39 anos de uso do solo por trecho, e 903 observações espectrais reais.</w:t>
      </w:r>
    </w:p>
    <w:tbl>
      <w:tblPr>
        <w:tblW w:type="auto" w:w="0"/>
        <w:tblLook w:firstColumn="1" w:firstRow="1" w:lastColumn="0" w:lastRow="0" w:noHBand="0" w:noVBand="1" w:val="04A0"/>
      </w:tblPr>
      <w:tblGrid>
        <w:gridCol w:w="8640"/>
      </w:tblGrid>
      <w:tr>
        <w:tc>
          <w:tcPr>
            <w:tcW w:type="dxa" w:w="8640"/>
            <w:shd w:fill="EAF1FB"/>
          </w:tcPr>
          <w:p>
            <w:r/>
            <w:r>
              <w:rPr>
                <w:b/>
                <w:color w:val="2A78D6"/>
                <w:sz w:val="18"/>
              </w:rPr>
              <w:t>LIMITAÇÃO A DECLARAR</w:t>
            </w:r>
          </w:p>
          <w:p>
            <w:r>
              <w:rPr>
                <w:sz w:val="21"/>
              </w:rPr>
              <w:t>O buffer de 5 km/300 m ao redor de um ponto NÃO é a mesma coisa que delimitar a bacia hidrográfica que realmente drena para aquele ponto (isso exigiria um modelo de elevação do terreno e acumulação de fluxo, fora do escopo deste projeto) — é um proxy da vizinhança imediata da estação, não da área de captação inteira a montante. E os índices espectrais (NDVI, proxy de turbidez) nunca foram calibrados contra uma medição de campo simultânea do Tietê — plausíveis à luz da literatura geral, mas não substitutos de uma medição real de turbidez em NTU.</w:t>
            </w:r>
          </w:p>
        </w:tc>
      </w:tr>
    </w:tbl>
    <w:p>
      <w:pPr>
        <w:spacing w:after="40"/>
      </w:pPr>
    </w:p>
    <w:p>
      <w:pPr>
        <w:pStyle w:val="Heading1"/>
      </w:pPr>
      <w:r>
        <w:t>19. Buscando dado real de clima: chamadas a uma API científica (Copernicus Climate Data Store)</w:t>
      </w:r>
    </w:p>
    <w:p>
      <w:pPr>
        <w:spacing w:after="120"/>
      </w:pPr>
      <w:r>
        <w:rPr>
          <w:b w:val="0"/>
          <w:i w:val="0"/>
          <w:sz w:val="22"/>
        </w:rPr>
        <w:t>Diferente do Earth Engine (que devolve só o número já agregado), o clima real deste projeto vem de um formato de arquivo científico padrão — NetCDF, usado por praticamente toda a comunidade de ciências atmosféricas — baixado de um serviço europeu (Copernicus, o programa de observação da Terra da União Europeia) e processado localmente.</w:t>
      </w:r>
    </w:p>
    <w:p>
      <w:pPr>
        <w:pStyle w:val="Heading3"/>
      </w:pPr>
      <w:r>
        <w:t>Reanálise vs. projeção — dois tipos de dado climático diferentes</w:t>
      </w:r>
    </w:p>
    <w:p>
      <w:r>
        <w:rPr>
          <w:i/>
          <w:color w:val="6B6F68"/>
          <w:sz w:val="18"/>
        </w:rPr>
        <w:t>Implementado em: ingestion/connectors/era5_cmip6.py</w:t>
      </w:r>
    </w:p>
    <w:p>
      <w:pPr>
        <w:pStyle w:val="ListBullet"/>
      </w:pPr>
      <w:r>
        <w:rPr>
          <w:sz w:val="21"/>
        </w:rPr>
        <w:t>ERA5 (reanálise): a MELHOR reconstrução possível do clima que JÁ aconteceu, combinando décadas de observações reais (satélites, estações, balões meteorológicos, navios) com um modelo físico que preenche os buracos entre elas de forma fisicamente consistente — não é medição direta em cada ponto, mas também não é simulação hipotética: é a reconstrução mais fiel disponível do passado real.</w:t>
      </w:r>
    </w:p>
    <w:p>
      <w:pPr>
        <w:pStyle w:val="ListBullet"/>
      </w:pPr>
      <w:r>
        <w:rPr>
          <w:sz w:val="21"/>
        </w:rPr>
        <w:t>CMIP6 (projeção): uma SIMULAÇÃO de como o clima poderia evoluir no futuro, sob um cenário específico de emissões de gases-estufa (por exemplo, "SSP5-8.5", o cenário mais extremo considerado pelo IPCC). É explicitamente hipotético — várias instituições ao redor do mundo rodam seus próprios modelos físicos, e este projeto usa um deles (mpi_esm1_2_lr) como ponto de referência, não como previsão única e certa.</w:t>
      </w:r>
    </w:p>
    <w:tbl>
      <w:tblPr>
        <w:tblW w:type="auto" w:w="0"/>
        <w:tblLook w:firstColumn="1" w:firstRow="1" w:lastColumn="0" w:lastRow="0" w:noHBand="0" w:noVBand="1" w:val="04A0"/>
      </w:tblPr>
      <w:tblGrid>
        <w:gridCol w:w="8640"/>
      </w:tblGrid>
      <w:tr>
        <w:tc>
          <w:tcPr>
            <w:tcW w:type="dxa" w:w="8640"/>
            <w:shd w:fill="EAF1FB"/>
          </w:tcPr>
          <w:p>
            <w:r/>
            <w:r>
              <w:rPr>
                <w:b/>
                <w:color w:val="2A78D6"/>
                <w:sz w:val="18"/>
              </w:rPr>
              <w:t>UMA ANALOGIA</w:t>
            </w:r>
          </w:p>
          <w:p>
            <w:r>
              <w:rPr>
                <w:sz w:val="21"/>
              </w:rPr>
              <w:t>ERA5 é como reconstruir o placar completo de um campeonato de futebol a partir de rádios, jornais e estatísticas oficiais de décadas atrás — trabalhoso, mas reconstruindo um passado real. CMIP6 é como simular como o campeonato do ANO QUE VEM terminaria SE um time específico reforçasse o elenco de um jeito específico — uma simulação condicional ("se... então"), não uma previsão garantida.</w:t>
            </w:r>
          </w:p>
        </w:tc>
      </w:tr>
    </w:tbl>
    <w:p>
      <w:pPr>
        <w:spacing w:after="40"/>
      </w:pPr>
    </w:p>
    <w:p>
      <w:pPr>
        <w:pStyle w:val="Heading3"/>
      </w:pPr>
      <w:r>
        <w:t>Calibrando um cenário do modelo baseado em agentes com CMIP6 real</w:t>
      </w:r>
    </w:p>
    <w:p>
      <w:r>
        <w:rPr>
          <w:i/>
          <w:color w:val="6B6F68"/>
          <w:sz w:val="18"/>
        </w:rPr>
        <w:t>Implementado em: ingestion/connectors/era5_cmip6.py, models/abm/clima_real.py</w:t>
      </w:r>
    </w:p>
    <w:p>
      <w:pPr>
        <w:spacing w:after="120"/>
      </w:pPr>
      <w:r>
        <w:rPr>
          <w:b w:val="0"/>
          <w:i w:val="0"/>
          <w:sz w:val="22"/>
        </w:rPr>
        <w:t>O modelo baseado em agentes (ABM) do dashboard tinha um cenário chamado "Mudança Climática Extrema" que, antes desta integração, usava uma suposição fixa: chuva 25% menor, todo ano, sem exceção. Para calibrar essa suposição com dado real, comparamos a precipitação média projetada pelo CMIP6 no cenário mais extremo (SSP5-8.5, 2040-2060) contra a precipitação média de um período de referência recente (1995-2014, a mesma janela de 20 anos usada oficialmente pelo IPCC) — a RAZÃO entre as duas médias é o novo "fator de clima".</w:t>
      </w:r>
    </w:p>
    <w:p>
      <w:pPr>
        <w:spacing w:after="120"/>
      </w:pPr>
      <w:r>
        <w:rPr>
          <w:b w:val="0"/>
          <w:i w:val="0"/>
          <w:sz w:val="22"/>
        </w:rPr>
        <w:t>Resultado real, calculado desta forma: 0,982 — ou seja, o cenário mais extremo de emissões consideradas plausíveis pelo IPCC fica só ~1,8% mais seco que o período de referência recente, não 25% mais seco como a suposição original assumia. Isso não significa que mudança climática não seja um risco real para a bacia — significa que a SUPOSIÇÃO NUMÉRICA específica usada antes desta calibração era mais severa do que o que um modelo climático real projeta para este cenário e esta janela de tempo.</w:t>
      </w:r>
    </w:p>
    <w:tbl>
      <w:tblPr>
        <w:tblW w:type="auto" w:w="0"/>
        <w:tblLook w:firstColumn="1" w:firstRow="1" w:lastColumn="0" w:lastRow="0" w:noHBand="0" w:noVBand="1" w:val="04A0"/>
      </w:tblPr>
      <w:tblGrid>
        <w:gridCol w:w="8640"/>
      </w:tblGrid>
      <w:tr>
        <w:tc>
          <w:tcPr>
            <w:tcW w:type="dxa" w:w="8640"/>
            <w:shd w:fill="EAF1FB"/>
          </w:tcPr>
          <w:p>
            <w:r/>
            <w:r>
              <w:rPr>
                <w:b/>
                <w:color w:val="2A78D6"/>
                <w:sz w:val="18"/>
              </w:rPr>
              <w:t>POR QUE SÓ UM MODELO CLIMÁTICO NÃO É O SUFICIENTE</w:t>
            </w:r>
          </w:p>
          <w:p>
            <w:r>
              <w:rPr>
                <w:sz w:val="21"/>
              </w:rPr>
              <w:t>Existem dezenas de modelos climáticos diferentes ao redor do mundo, cada um com suas próprias premissas físicas — e eles não concordam exatamente entre si sobre o futuro. A prática recomendada é rodar vários modelos e combinar os resultados ("ensemble"), o que reduz a chance de uma conclusão importante depender das particularidades de um único modelo. Este projeto usa hoje só um modelo (mpi_esm1_2_lr, escolhido por ser mais leve/rápido de baixar) — o número 0,982 deve ser lido como um ponto de referência real, não como a palavra final da ciência climática sobre a bacia do Tietê.</w:t>
            </w:r>
          </w:p>
        </w:tc>
      </w:tr>
    </w:tbl>
    <w:p>
      <w:pPr>
        <w:spacing w:after="40"/>
      </w:pPr>
    </w:p>
    <w:p>
      <w:pPr>
        <w:pStyle w:val="Heading1"/>
      </w:pPr>
      <w:r>
        <w:t>20. Resumo: qual método usar para qual pergunta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Pergunta que você quer responder</w:t>
            </w:r>
          </w:p>
        </w:tc>
        <w:tc>
          <w:tcPr>
            <w:tcW w:type="dxa" w:w="4320"/>
          </w:tcPr>
          <w:p>
            <w:r/>
            <w:r>
              <w:rPr>
                <w:b/>
                <w:sz w:val="18"/>
              </w:rPr>
              <w:t>Método deste guia</w:t>
            </w:r>
          </w:p>
        </w:tc>
      </w:tr>
      <w:tr>
        <w:tc>
          <w:tcPr>
            <w:tcW w:type="dxa" w:w="4320"/>
          </w:tcPr>
          <w:p>
            <w:r/>
            <w:r>
              <w:rPr>
                <w:sz w:val="19"/>
              </w:rPr>
              <w:t>"Como estão, em geral, os números deste parâmetro?"</w:t>
            </w:r>
          </w:p>
        </w:tc>
        <w:tc>
          <w:tcPr>
            <w:tcW w:type="dxa" w:w="4320"/>
          </w:tcPr>
          <w:p>
            <w:r/>
            <w:r>
              <w:rPr>
                <w:sz w:val="19"/>
              </w:rPr>
              <w:t>Cap. 4 — Estatística descritiva</w:t>
            </w:r>
          </w:p>
        </w:tc>
      </w:tr>
      <w:tr>
        <w:tc>
          <w:tcPr>
            <w:tcW w:type="dxa" w:w="4320"/>
          </w:tcPr>
          <w:p>
            <w:r/>
            <w:r>
              <w:rPr>
                <w:sz w:val="19"/>
              </w:rPr>
              <w:t>"Que valores aparecem mais? Há valores extremos?"</w:t>
            </w:r>
          </w:p>
        </w:tc>
        <w:tc>
          <w:tcPr>
            <w:tcW w:type="dxa" w:w="4320"/>
          </w:tcPr>
          <w:p>
            <w:r/>
            <w:r>
              <w:rPr>
                <w:sz w:val="19"/>
              </w:rPr>
              <w:t>Cap. 5 — Histograma</w:t>
            </w:r>
          </w:p>
        </w:tc>
      </w:tr>
      <w:tr>
        <w:tc>
          <w:tcPr>
            <w:tcW w:type="dxa" w:w="4320"/>
          </w:tcPr>
          <w:p>
            <w:r/>
            <w:r>
              <w:rPr>
                <w:sz w:val="19"/>
              </w:rPr>
              <w:t>"Este parâmetro é diferente entre os 3 trechos do rio?"</w:t>
            </w:r>
          </w:p>
        </w:tc>
        <w:tc>
          <w:tcPr>
            <w:tcW w:type="dxa" w:w="4320"/>
          </w:tcPr>
          <w:p>
            <w:r/>
            <w:r>
              <w:rPr>
                <w:sz w:val="19"/>
              </w:rPr>
              <w:t>Cap. 5 — Boxplot</w:t>
            </w:r>
          </w:p>
        </w:tc>
      </w:tr>
      <w:tr>
        <w:tc>
          <w:tcPr>
            <w:tcW w:type="dxa" w:w="4320"/>
          </w:tcPr>
          <w:p>
            <w:r/>
            <w:r>
              <w:rPr>
                <w:sz w:val="19"/>
              </w:rPr>
              <w:t>"Duas variáveis andam juntas (em linha reta)?"</w:t>
            </w:r>
          </w:p>
        </w:tc>
        <w:tc>
          <w:tcPr>
            <w:tcW w:type="dxa" w:w="4320"/>
          </w:tcPr>
          <w:p>
            <w:r/>
            <w:r>
              <w:rPr>
                <w:sz w:val="19"/>
              </w:rPr>
              <w:t>Cap. 6 — Pearson</w:t>
            </w:r>
          </w:p>
        </w:tc>
      </w:tr>
      <w:tr>
        <w:tc>
          <w:tcPr>
            <w:tcW w:type="dxa" w:w="4320"/>
          </w:tcPr>
          <w:p>
            <w:r/>
            <w:r>
              <w:rPr>
                <w:sz w:val="19"/>
              </w:rPr>
              <w:t>"Duas variáveis andam juntas (não necessariamente reto)?"</w:t>
            </w:r>
          </w:p>
        </w:tc>
        <w:tc>
          <w:tcPr>
            <w:tcW w:type="dxa" w:w="4320"/>
          </w:tcPr>
          <w:p>
            <w:r/>
            <w:r>
              <w:rPr>
                <w:sz w:val="19"/>
              </w:rPr>
              <w:t>Cap. 6 — Spearman</w:t>
            </w:r>
          </w:p>
        </w:tc>
      </w:tr>
      <w:tr>
        <w:tc>
          <w:tcPr>
            <w:tcW w:type="dxa" w:w="4320"/>
          </w:tcPr>
          <w:p>
            <w:r/>
            <w:r>
              <w:rPr>
                <w:sz w:val="19"/>
              </w:rPr>
              <w:t>"Quero ver muitas correlações de uma vez"</w:t>
            </w:r>
          </w:p>
        </w:tc>
        <w:tc>
          <w:tcPr>
            <w:tcW w:type="dxa" w:w="4320"/>
          </w:tcPr>
          <w:p>
            <w:r/>
            <w:r>
              <w:rPr>
                <w:sz w:val="19"/>
              </w:rPr>
              <w:t>Cap. 7 — Pairplot / Heatmap</w:t>
            </w:r>
          </w:p>
        </w:tc>
      </w:tr>
      <w:tr>
        <w:tc>
          <w:tcPr>
            <w:tcW w:type="dxa" w:w="4320"/>
          </w:tcPr>
          <w:p>
            <w:r/>
            <w:r>
              <w:rPr>
                <w:sz w:val="19"/>
              </w:rPr>
              <w:t>"Este parâmetro tem um ciclo anual? Uma tendência de fundo?"</w:t>
            </w:r>
          </w:p>
        </w:tc>
        <w:tc>
          <w:tcPr>
            <w:tcW w:type="dxa" w:w="4320"/>
          </w:tcPr>
          <w:p>
            <w:r/>
            <w:r>
              <w:rPr>
                <w:sz w:val="19"/>
              </w:rPr>
              <w:t>Cap. 8 — Decomposição sazonal</w:t>
            </w:r>
          </w:p>
        </w:tc>
      </w:tr>
      <w:tr>
        <w:tc>
          <w:tcPr>
            <w:tcW w:type="dxa" w:w="4320"/>
          </w:tcPr>
          <w:p>
            <w:r/>
            <w:r>
              <w:rPr>
                <w:sz w:val="19"/>
              </w:rPr>
              <w:t>"Este parâmetro está piorando/melhorando de verdade, não é ruído?"</w:t>
            </w:r>
          </w:p>
        </w:tc>
        <w:tc>
          <w:tcPr>
            <w:tcW w:type="dxa" w:w="4320"/>
          </w:tcPr>
          <w:p>
            <w:r/>
            <w:r>
              <w:rPr>
                <w:sz w:val="19"/>
              </w:rPr>
              <w:t>Cap. 9 — Mann-Kendall</w:t>
            </w:r>
          </w:p>
        </w:tc>
      </w:tr>
      <w:tr>
        <w:tc>
          <w:tcPr>
            <w:tcW w:type="dxa" w:w="4320"/>
          </w:tcPr>
          <w:p>
            <w:r/>
            <w:r>
              <w:rPr>
                <w:sz w:val="19"/>
              </w:rPr>
              <w:t>"A chuva de hoje afeta a vazão de daqui a alguns meses?"</w:t>
            </w:r>
          </w:p>
        </w:tc>
        <w:tc>
          <w:tcPr>
            <w:tcW w:type="dxa" w:w="4320"/>
          </w:tcPr>
          <w:p>
            <w:r/>
            <w:r>
              <w:rPr>
                <w:sz w:val="19"/>
              </w:rPr>
              <w:t>Cap. 10 — Correlação cruzada</w:t>
            </w:r>
          </w:p>
        </w:tc>
      </w:tr>
      <w:tr>
        <w:tc>
          <w:tcPr>
            <w:tcW w:type="dxa" w:w="4320"/>
          </w:tcPr>
          <w:p>
            <w:r/>
            <w:r>
              <w:rPr>
                <w:sz w:val="19"/>
              </w:rPr>
              <w:t>"Em que % do tempo o rio tem pelo menos tanta água?"</w:t>
            </w:r>
          </w:p>
        </w:tc>
        <w:tc>
          <w:tcPr>
            <w:tcW w:type="dxa" w:w="4320"/>
          </w:tcPr>
          <w:p>
            <w:r/>
            <w:r>
              <w:rPr>
                <w:sz w:val="19"/>
              </w:rPr>
              <w:t>Cap. 11 — Curva de permanência</w:t>
            </w:r>
          </w:p>
        </w:tc>
      </w:tr>
      <w:tr>
        <w:tc>
          <w:tcPr>
            <w:tcW w:type="dxa" w:w="4320"/>
          </w:tcPr>
          <w:p>
            <w:r/>
            <w:r>
              <w:rPr>
                <w:sz w:val="19"/>
              </w:rPr>
              <w:t>"Este posto de medição tem algum erro de instrumento?"</w:t>
            </w:r>
          </w:p>
        </w:tc>
        <w:tc>
          <w:tcPr>
            <w:tcW w:type="dxa" w:w="4320"/>
          </w:tcPr>
          <w:p>
            <w:r/>
            <w:r>
              <w:rPr>
                <w:sz w:val="19"/>
              </w:rPr>
              <w:t>Cap. 11 — Curva de dupla massa</w:t>
            </w:r>
          </w:p>
        </w:tc>
      </w:tr>
      <w:tr>
        <w:tc>
          <w:tcPr>
            <w:tcW w:type="dxa" w:w="4320"/>
          </w:tcPr>
          <w:p>
            <w:r/>
            <w:r>
              <w:rPr>
                <w:sz w:val="19"/>
              </w:rPr>
              <w:t>"Este valor é estranho/atípico?"</w:t>
            </w:r>
          </w:p>
        </w:tc>
        <w:tc>
          <w:tcPr>
            <w:tcW w:type="dxa" w:w="4320"/>
          </w:tcPr>
          <w:p>
            <w:r/>
            <w:r>
              <w:rPr>
                <w:sz w:val="19"/>
              </w:rPr>
              <w:t>Cap. 12 — Z-score / IQR</w:t>
            </w:r>
          </w:p>
        </w:tc>
      </w:tr>
      <w:tr>
        <w:tc>
          <w:tcPr>
            <w:tcW w:type="dxa" w:w="4320"/>
          </w:tcPr>
          <w:p>
            <w:r/>
            <w:r>
              <w:rPr>
                <w:sz w:val="19"/>
              </w:rPr>
              <w:t>"Consigo prever um parâmetro difícil a partir de outros mais fáceis?"</w:t>
            </w:r>
          </w:p>
        </w:tc>
        <w:tc>
          <w:tcPr>
            <w:tcW w:type="dxa" w:w="4320"/>
          </w:tcPr>
          <w:p>
            <w:r/>
            <w:r>
              <w:rPr>
                <w:sz w:val="19"/>
              </w:rPr>
              <w:t>Cap. 13 — Random Forest / XGBoost</w:t>
            </w:r>
          </w:p>
        </w:tc>
      </w:tr>
      <w:tr>
        <w:tc>
          <w:tcPr>
            <w:tcW w:type="dxa" w:w="4320"/>
          </w:tcPr>
          <w:p>
            <w:r/>
            <w:r>
              <w:rPr>
                <w:sz w:val="19"/>
              </w:rPr>
              <w:t>"Por que o modelo previu ISSO especificamente?"</w:t>
            </w:r>
          </w:p>
        </w:tc>
        <w:tc>
          <w:tcPr>
            <w:tcW w:type="dxa" w:w="4320"/>
          </w:tcPr>
          <w:p>
            <w:r/>
            <w:r>
              <w:rPr>
                <w:sz w:val="19"/>
              </w:rPr>
              <w:t>Cap. 14 — SHAP</w:t>
            </w:r>
          </w:p>
        </w:tc>
      </w:tr>
      <w:tr>
        <w:tc>
          <w:tcPr>
            <w:tcW w:type="dxa" w:w="4320"/>
          </w:tcPr>
          <w:p>
            <w:r/>
            <w:r>
              <w:rPr>
                <w:sz w:val="19"/>
              </w:rPr>
              <w:t>"Em que categoria (Bom/Atenção/Sério/Crítico) o rio está?"</w:t>
            </w:r>
          </w:p>
        </w:tc>
        <w:tc>
          <w:tcPr>
            <w:tcW w:type="dxa" w:w="4320"/>
          </w:tcPr>
          <w:p>
            <w:r/>
            <w:r>
              <w:rPr>
                <w:sz w:val="19"/>
              </w:rPr>
              <w:t>Cap. 15 — Classificador + matriz de confusão</w:t>
            </w:r>
          </w:p>
        </w:tc>
      </w:tr>
      <w:tr>
        <w:tc>
          <w:tcPr>
            <w:tcW w:type="dxa" w:w="4320"/>
          </w:tcPr>
          <w:p>
            <w:r/>
            <w:r>
              <w:rPr>
                <w:sz w:val="19"/>
              </w:rPr>
              <w:t>"Um modelo treinado aqui funciona em outro lugar/época?"</w:t>
            </w:r>
          </w:p>
        </w:tc>
        <w:tc>
          <w:tcPr>
            <w:tcW w:type="dxa" w:w="4320"/>
          </w:tcPr>
          <w:p>
            <w:r/>
            <w:r>
              <w:rPr>
                <w:sz w:val="19"/>
              </w:rPr>
              <w:t>Cap. 16 — Teste de generalização</w:t>
            </w:r>
          </w:p>
        </w:tc>
      </w:tr>
    </w:tbl>
    <w:p/>
    <w:p>
      <w:pPr>
        <w:pStyle w:val="Heading1"/>
      </w:pPr>
      <w:r>
        <w:t>21. Glossário</w:t>
      </w:r>
    </w:p>
    <w:p>
      <w:pPr>
        <w:spacing w:after="160"/>
      </w:pPr>
      <w:r>
        <w:rPr>
          <w:b/>
          <w:i w:val="0"/>
        </w:rPr>
        <w:t xml:space="preserve">EAV (Entidade-Atributo-Valor) — </w:t>
      </w:r>
      <w:r>
        <w:rPr>
          <w:b w:val="0"/>
          <w:i w:val="0"/>
        </w:rPr>
        <w:t>Formato de tabela em que cada linha é uma medição isolada, em vez de uma linha por evento com várias colunas.</w:t>
      </w:r>
    </w:p>
    <w:p>
      <w:pPr>
        <w:spacing w:after="160"/>
      </w:pPr>
      <w:r>
        <w:rPr>
          <w:b/>
          <w:i w:val="0"/>
        </w:rPr>
        <w:t xml:space="preserve">p-valor — </w:t>
      </w:r>
      <w:r>
        <w:rPr>
          <w:b w:val="0"/>
          <w:i w:val="0"/>
        </w:rPr>
        <w:t>Probabilidade de um resultado tão "forte" quanto o observado acontecer só por acaso, sem nenhum efeito real. Quanto menor, mais confiança de que o efeito é real.</w:t>
      </w:r>
    </w:p>
    <w:p>
      <w:pPr>
        <w:spacing w:after="160"/>
      </w:pPr>
      <w:r>
        <w:rPr>
          <w:b/>
          <w:i w:val="0"/>
        </w:rPr>
        <w:t xml:space="preserve">R² ("R ao quadrado") — </w:t>
      </w:r>
      <w:r>
        <w:rPr>
          <w:b w:val="0"/>
          <w:i w:val="0"/>
        </w:rPr>
        <w:t>Fração da variação dos dados que um modelo consegue explicar, de 0 a 1 (pode ser negativo se o modelo for pior que só prever a média).</w:t>
      </w:r>
    </w:p>
    <w:p>
      <w:pPr>
        <w:spacing w:after="160"/>
      </w:pPr>
      <w:r>
        <w:rPr>
          <w:b/>
          <w:i w:val="0"/>
        </w:rPr>
        <w:t xml:space="preserve">MAE (Erro Absoluto Médio) — </w:t>
      </w:r>
      <w:r>
        <w:rPr>
          <w:b w:val="0"/>
          <w:i w:val="0"/>
        </w:rPr>
        <w:t>O quanto, em média, a previsão de um modelo erra, na mesma unidade do dado original.</w:t>
      </w:r>
    </w:p>
    <w:p>
      <w:pPr>
        <w:spacing w:after="160"/>
      </w:pPr>
      <w:r>
        <w:rPr>
          <w:b/>
          <w:i w:val="0"/>
        </w:rPr>
        <w:t xml:space="preserve">Overfitting — </w:t>
      </w:r>
      <w:r>
        <w:rPr>
          <w:b w:val="0"/>
          <w:i w:val="0"/>
        </w:rPr>
        <w:t>Quando um modelo "decora" os detalhes específicos dos dados de treino em vez de aprender um padrão geral, e por isso funciona mal em dados novos.</w:t>
      </w:r>
    </w:p>
    <w:p>
      <w:pPr>
        <w:spacing w:after="160"/>
      </w:pPr>
      <w:r>
        <w:rPr>
          <w:b/>
          <w:i w:val="0"/>
        </w:rPr>
        <w:t xml:space="preserve">Outlier — </w:t>
      </w:r>
      <w:r>
        <w:rPr>
          <w:b w:val="0"/>
          <w:i w:val="0"/>
        </w:rPr>
        <w:t>Valor que foge muito do padrão típico dos demais dados — pode ser um evento real (um vazamento pontual) ou um erro de medição/digitação.</w:t>
      </w:r>
    </w:p>
    <w:p>
      <w:pPr>
        <w:spacing w:after="160"/>
      </w:pPr>
      <w:r>
        <w:rPr>
          <w:b/>
          <w:i w:val="0"/>
        </w:rPr>
        <w:t xml:space="preserve">Trecho (Alto/Médio/Baixo Tietê) — </w:t>
      </w:r>
      <w:r>
        <w:rPr>
          <w:b w:val="0"/>
          <w:i w:val="0"/>
        </w:rPr>
        <w:t>Divisão do rio em três segmentos usada em todo o projeto, do nascente (Alto, na Região Metropolitana de SP) até a foz no Rio Paraná (Baixo).</w:t>
      </w:r>
    </w:p>
    <w:p>
      <w:pPr>
        <w:spacing w:after="160"/>
      </w:pPr>
      <w:r>
        <w:rPr>
          <w:b/>
          <w:i w:val="0"/>
        </w:rPr>
        <w:t xml:space="preserve">Proxy — </w:t>
      </w:r>
      <w:r>
        <w:rPr>
          <w:b w:val="0"/>
          <w:i w:val="0"/>
        </w:rPr>
        <w:t>Uma variável que não é exatamente o que queremos medir, mas que se comporta de forma parecida o suficiente para servir de substituto prático (ex.: Carbono Orgânico Total como proxy de poluição por esgoto).</w:t>
      </w:r>
    </w:p>
    <w:p>
      <w:pPr>
        <w:spacing w:after="160"/>
      </w:pPr>
      <w:r>
        <w:rPr>
          <w:b/>
          <w:i w:val="0"/>
        </w:rPr>
        <w:t xml:space="preserve">Série temporal — </w:t>
      </w:r>
      <w:r>
        <w:rPr>
          <w:b w:val="0"/>
          <w:i w:val="0"/>
        </w:rPr>
        <w:t>Uma sequência de medições do mesmo parâmetro ao longo do tempo (ex.: vazão mês a mês).</w:t>
      </w:r>
    </w:p>
    <w:p>
      <w:pPr>
        <w:spacing w:after="160"/>
      </w:pPr>
      <w:r>
        <w:rPr>
          <w:b/>
          <w:i w:val="0"/>
        </w:rPr>
        <w:t xml:space="preserve">Regressão vs. Classificação — </w:t>
      </w:r>
      <w:r>
        <w:rPr>
          <w:b w:val="0"/>
          <w:i w:val="0"/>
        </w:rPr>
        <w:t>Regressão prevê um número (ex.: 4,2 mg/L de OD); classificação prevê uma categoria (ex.: status "Sério").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1F1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1F1E"/>
      <w:sz w:val="3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1F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