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92D" w:rsidRPr="005B078D" w:rsidRDefault="004A3BA8" w:rsidP="005B078D">
      <w:pPr>
        <w:spacing w:after="20"/>
        <w:jc w:val="center"/>
        <w:rPr>
          <w:color w:val="000000" w:themeColor="text1"/>
        </w:rPr>
      </w:pPr>
      <w:proofErr w:type="spellStart"/>
      <w:r w:rsidRPr="005B078D">
        <w:rPr>
          <w:b/>
          <w:color w:val="000000" w:themeColor="text1"/>
          <w:sz w:val="34"/>
        </w:rPr>
        <w:t>Relatório</w:t>
      </w:r>
      <w:proofErr w:type="spellEnd"/>
      <w:r w:rsidRPr="005B078D">
        <w:rPr>
          <w:b/>
          <w:color w:val="000000" w:themeColor="text1"/>
          <w:sz w:val="34"/>
        </w:rPr>
        <w:t xml:space="preserve"> </w:t>
      </w:r>
      <w:proofErr w:type="spellStart"/>
      <w:r w:rsidRPr="005B078D">
        <w:rPr>
          <w:b/>
          <w:color w:val="000000" w:themeColor="text1"/>
          <w:sz w:val="34"/>
        </w:rPr>
        <w:t>Descritivo</w:t>
      </w:r>
      <w:proofErr w:type="spellEnd"/>
      <w:r w:rsidRPr="005B078D">
        <w:rPr>
          <w:b/>
          <w:color w:val="000000" w:themeColor="text1"/>
          <w:sz w:val="34"/>
        </w:rPr>
        <w:t xml:space="preserve"> do </w:t>
      </w:r>
      <w:proofErr w:type="spellStart"/>
      <w:r w:rsidRPr="005B078D">
        <w:rPr>
          <w:b/>
          <w:color w:val="000000" w:themeColor="text1"/>
          <w:sz w:val="34"/>
        </w:rPr>
        <w:t>Projeto</w:t>
      </w:r>
      <w:proofErr w:type="spellEnd"/>
    </w:p>
    <w:p w:rsidR="00E4792D" w:rsidRPr="005B078D" w:rsidRDefault="004A3BA8" w:rsidP="005B078D">
      <w:pPr>
        <w:spacing w:after="160"/>
        <w:jc w:val="both"/>
        <w:rPr>
          <w:color w:val="000000" w:themeColor="text1"/>
        </w:rPr>
      </w:pPr>
      <w:r w:rsidRPr="005B078D">
        <w:rPr>
          <w:i/>
          <w:color w:val="000000" w:themeColor="text1"/>
          <w:sz w:val="18"/>
        </w:rPr>
        <w:t>Plataforma híbrida (biofísico + machine learning + modelo baseado em agentes) para gestão da qualidade da água do Rio Tietê, cobrindo 1940–2025. Agosto de 2026.</w:t>
      </w:r>
    </w:p>
    <w:p w:rsidR="00E4792D" w:rsidRPr="005B078D" w:rsidRDefault="004A3BA8">
      <w:pPr>
        <w:keepNext/>
        <w:pBdr>
          <w:bottom w:val="single" w:sz="6" w:space="0" w:color="1F5FA8"/>
        </w:pBdr>
        <w:spacing w:before="1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O que é o projeto</w:t>
      </w:r>
    </w:p>
    <w:p w:rsidR="00E4792D" w:rsidRPr="005B078D" w:rsidRDefault="004A3BA8" w:rsidP="005B078D">
      <w:pPr>
        <w:spacing w:after="10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Sistema que integra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três abordagens de modelagem — um modelo biofísico determinístico (balanço hídrico + Streeter-Phelps), um modelo estatístico de Machine Learning (RandomForest) e um modelo baseado em agentes (ABM, framework Mesa) — para simular a qualidade da água em três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trechos do Rio Tietê (Alto, Médio, Baixo), sob decisões de política hídrica configuráveis (saneamento, fiscalização, agrotóxicos, outorga, clima). Toda a plataforma é ancorada em dados reais sempre que disponíveis, com fallback simulado explícito onde não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há medição.</w:t>
      </w:r>
    </w:p>
    <w:p w:rsidR="00E4792D" w:rsidRPr="005B078D" w:rsidRDefault="004A3BA8" w:rsidP="005B078D">
      <w:pPr>
        <w:keepNext/>
        <w:pBdr>
          <w:bottom w:val="single" w:sz="6" w:space="0" w:color="1F5FA8"/>
        </w:pBdr>
        <w:spacing w:before="14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Pipeline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de dados 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Arquitetura Medallion (Bronze/Silver/Gold):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construída sobre `deltalake` (tabelas Delta reais, log ACID, particionamento por trecho, sem exigir Spark/Hadoop). Bronze espelha as fontes brutas com prove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niência (`_fonte_tipo`); Silver normaliza schema e granularidade; Gold agrega por trecho/ano para ML, ABM e dashboard. Um orquestrador único (`monthly_job.py`) executa Bronze → conectores → Silver → Gold e roda automaticamente via GitHub Actions.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Conectore</w:t>
      </w: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 de dados reais implementados e validados contra APIs ao vivo: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(1) CETESB — 699 pontos estaduais, ~2,4 milhões de medições reais 1978–2024, pivotagem EAV→colunas e tratamento de censura analítica; (2) ANA/SNIRH — API pública de vazão/chuva, backfill real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2000–2026 (+1.762 linhas de vazão, +6.355 de chuva), com correção de um bug de correspondência por substring que casava "ITAPURA" com "ITAPURANGA" (GO); (3) MapBiomas Coleção 9 via Google Earth Engine — uso do solo real 1985–2023, agregado num buffer de 5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km ao redor das estações de monitoramento; (4) Landsat via Earth Engine — NDVI/temperatura de superfície/turbidez-proxy históricos, 1984–presente; (5) Copernicus Climate Data Store (ERA5/CMIP6) — reanálise histórica e projeções futuras por cenário SSP.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Dec</w:t>
      </w: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isão</w:t>
      </w:r>
      <w:proofErr w:type="spellEnd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fo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rmalizada</w:t>
      </w:r>
      <w:proofErr w:type="spellEnd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atualização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incremental da CETESB pós-2024</w:t>
      </w:r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>permanece</w:t>
      </w:r>
      <w:proofErr w:type="spellEnd"/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 stub </w:t>
      </w:r>
      <w:proofErr w:type="spellStart"/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>deliberado</w:t>
      </w:r>
      <w:proofErr w:type="spellEnd"/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CETESB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não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expõe hoje uma rota HTTP programável equivalente à da ANA; o pipeline trata isso como esperado, sem quebrar a rodada mensal.</w:t>
      </w:r>
    </w:p>
    <w:p w:rsidR="00E4792D" w:rsidRPr="005B078D" w:rsidRDefault="004A3BA8" w:rsidP="005B078D">
      <w:pPr>
        <w:keepNext/>
        <w:pBdr>
          <w:bottom w:val="single" w:sz="6" w:space="0" w:color="1F5FA8"/>
        </w:pBdr>
        <w:spacing w:before="14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Modelagem híbrida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Biofísico: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balanço hídrico mensal (bucket linear) convertido em vazão simulada por um fator calibrado contra a média histórica real do trecho; qualidade da água via Streeter-Phelps clássico.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ABM: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5 agentes por trecho (Comitê de Bacia, Ind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ústria, Agricultor, Concessionária, Poder Público) ajustam outorga e carga poluidora mês a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; `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rodar_</w:t>
      </w:r>
      <w:r w:rsidR="005B078D"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cenario</w:t>
      </w:r>
      <w:proofErr w:type="spellEnd"/>
      <w:r w:rsidR="005B078D"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`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executa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simulação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completa, alimentando a página "Comparativo de Cenários" do dashboard.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Machine Learning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5B078D"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ML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RandomForest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trecho (3 mod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elos independentes) prevê IQA e Oxigênio Dissolvido a partir de ano, vazão, chuva, uso do solo real e lags/médias móveis do próprio alvo; previsão de anos futuros é recursiva (usa a própria previsão anterior como lag). Hiperparâmetros escolhidos por GridSe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archCV (5-fold, otimizando MAE). Validado por split temporal (treino até 2014) e por walk-forward (11 folds/trecho): MAE do Médio Tietê supera o baseline de persistência em 82% dos folds (IQA); o Alto Tietê é o mais difícil de prever (36%).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Auditoria de </w:t>
      </w:r>
      <w:r w:rsid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Machine Learning </w:t>
      </w:r>
      <w:proofErr w:type="spellStart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corrigiu</w:t>
      </w:r>
      <w:proofErr w:type="spellEnd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4 </w:t>
      </w:r>
      <w:proofErr w:type="spellStart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problemas</w:t>
      </w:r>
      <w:proofErr w:type="spellEnd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reais</w:t>
      </w:r>
      <w:proofErr w:type="spellEnd"/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vazamento temporal (lag mensal repetia o próprio alvo — corrigido para granularidade anual); generalização espacial ruim de um modelo único (R² negativo entre trechos — corrigido com modelos separados); ruído estrutu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ral na série de vazão do Baixo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Tietê (removida como preditora só ali); e SHAP dominado por autocorrelação (criada uma matriz de "drivers" sem lags, só para leitura causal-adjacente, nunca para o modelo de produção).</w:t>
      </w:r>
    </w:p>
    <w:p w:rsidR="00E4792D" w:rsidRPr="005B078D" w:rsidRDefault="004A3BA8" w:rsidP="005B078D">
      <w:pPr>
        <w:spacing w:after="8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Calibração climática real: 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o fator de mu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dança climática do cenário extremo do ABM, antes um proxy fixo de -25%, foi recalculado contra ERA5 (baseline 1995–2014) vs. CMIP6 SSP5-8.5 (2040–2060): resu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ltado real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fator_clima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0,982.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feito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bem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menos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severo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o assumido inicialmente. Três divergên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cias de formato da API CDS foram descobertas e corrigidas na integração (arquivos separados por variável, formato do id de experimento, e perda silenciosa de variável em requisição conjunta).</w:t>
      </w:r>
    </w:p>
    <w:p w:rsidR="00E4792D" w:rsidRPr="005B078D" w:rsidRDefault="004A3BA8" w:rsidP="005B078D">
      <w:pPr>
        <w:keepNext/>
        <w:pBdr>
          <w:bottom w:val="single" w:sz="6" w:space="0" w:color="1F5FA8"/>
        </w:pBdr>
        <w:spacing w:before="14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Dashboard e entregáveis</w:t>
      </w:r>
    </w:p>
    <w:p w:rsidR="00E4792D" w:rsidRPr="005B078D" w:rsidRDefault="004A3BA8" w:rsidP="005B078D">
      <w:pPr>
        <w:spacing w:after="100" w:line="25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Dashboard Streamlit com 5 páginas (Ho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me/KPIs, Mapa Interativo, Séries Históricas, Cenários Futuros com sliders de política e animação 3D do ABM, Comparativo de Cenários). </w:t>
      </w:r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Uma </w:t>
      </w:r>
      <w:proofErr w:type="spellStart"/>
      <w:r w:rsidR="005B078D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uíte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testes </w:t>
      </w:r>
      <w:proofErr w:type="spellStart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utomatizada</w:t>
      </w:r>
      <w:proofErr w:type="spellEnd"/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(pytest, executada a cada push via GitHub Actions) cobre paridade de ingestão (toda fonte declarada precisa de um módulo Bronze real) e os achados da auditoria de ML (granularidade sem vazamento, separação real/simulado no treino, ausência de v</w:t>
      </w:r>
      <w:r w:rsidRPr="005B078D">
        <w:rPr>
          <w:rFonts w:ascii="Times New Roman" w:hAnsi="Times New Roman" w:cs="Times New Roman"/>
          <w:color w:val="000000" w:themeColor="text1"/>
          <w:sz w:val="24"/>
          <w:szCs w:val="24"/>
        </w:rPr>
        <w:t>azamento no walk-forward, SHAP diagnóstico correto).</w:t>
      </w:r>
    </w:p>
    <w:p w:rsidR="00E4792D" w:rsidRPr="005B078D" w:rsidRDefault="004A3BA8" w:rsidP="005B078D">
      <w:pPr>
        <w:spacing w:before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078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Limitações assumidas e documentadas no próprio código: IQA é um proxy simplificado (OD/DBO), não o índice oficial de 9 parâmetros; trechos são simulados de forma independente no ABM, sem propagação de mo</w:t>
      </w:r>
      <w:r w:rsidRPr="005B078D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ntante para jusante; coeficientes de Streeter-Phelps não são calibrados especificamente para o Tietê.</w:t>
      </w:r>
    </w:p>
    <w:sectPr w:rsidR="00E4792D" w:rsidRPr="005B078D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BA8"/>
    <w:rsid w:val="005B078D"/>
    <w:rsid w:val="00AA1D8D"/>
    <w:rsid w:val="00B47730"/>
    <w:rsid w:val="00CB0664"/>
    <w:rsid w:val="00E4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3C627"/>
  <w14:defaultImageDpi w14:val="300"/>
  <w15:docId w15:val="{8091CDBE-F14E-442E-A01E-DB0889DF3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05952F-4315-4EDD-B5C8-62DA2B4DF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Silva, José (J.W.)</cp:lastModifiedBy>
  <cp:revision>2</cp:revision>
  <dcterms:created xsi:type="dcterms:W3CDTF">2013-12-23T23:15:00Z</dcterms:created>
  <dcterms:modified xsi:type="dcterms:W3CDTF">2026-08-24T14:55:00Z</dcterms:modified>
  <cp:category/>
</cp:coreProperties>
</file>