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before="0" w:after="80"/>
        <w:jc w:val="center"/>
      </w:pPr>
      <w:r>
        <w:rPr>
          <w:b/>
          <w:color w:val="0F2E44"/>
          <w:sz w:val="64"/>
        </w:rPr>
        <w:t>WaterWeave-Tietê</w:t>
      </w:r>
    </w:p>
    <w:p>
      <w:pPr>
        <w:spacing w:before="0" w:after="480"/>
        <w:jc w:val="center"/>
      </w:pPr>
      <w:r>
        <w:rPr>
          <w:b/>
          <w:color w:val="1F5FA8"/>
          <w:sz w:val="36"/>
        </w:rPr>
        <w:t>Resumo Executivo do Projeto</w:t>
      </w:r>
    </w:p>
    <w:p>
      <w:pPr>
        <w:spacing w:after="800" w:line="283" w:lineRule="auto"/>
      </w:pPr>
      <w:r>
        <w:rPr>
          <w:b w:val="0"/>
          <w:i w:val="0"/>
          <w:color w:val="55697A"/>
          <w:sz w:val="25"/>
        </w:rPr>
        <w:t>Plataforma híbrida (modelo biofísico + machine learning + modelo baseado em agentes) para gestão sustentável de recursos hídricos do Rio Tietê, cobrindo 1940–2025 com automação mensal contínua.</w:t>
      </w:r>
    </w:p>
    <w:p>
      <w:pPr>
        <w:spacing w:before="800"/>
        <w:jc w:val="center"/>
      </w:pPr>
      <w:r>
        <w:rPr>
          <w:i/>
          <w:color w:val="889199"/>
          <w:sz w:val="21"/>
        </w:rPr>
        <w:t>Pesquisa de pós-doutorado — projeto WaterWeave-Water4All</w:t>
      </w:r>
    </w:p>
    <w:p>
      <w:pPr>
        <w:jc w:val="center"/>
      </w:pPr>
      <w:r>
        <w:rPr>
          <w:color w:val="889199"/>
          <w:sz w:val="21"/>
        </w:rPr>
        <w:t>Agosto de 2026</w:t>
      </w:r>
    </w:p>
    <w:p>
      <w:r>
        <w:br w:type="page"/>
      </w:r>
    </w:p>
    <w:p>
      <w:pPr>
        <w:keepNext/>
        <w:spacing w:before="400" w:after="160"/>
        <w:pBdr>
          <w:bottom w:val="single" w:sz="8" w:color="1F5FA8"/>
        </w:pBdr>
      </w:pPr>
      <w:r>
        <w:rPr>
          <w:b/>
          <w:color w:val="0F2E44"/>
          <w:sz w:val="32"/>
        </w:rPr>
        <w:t>1. Contexto e Objetivo</w:t>
      </w:r>
    </w:p>
    <w:p>
      <w:pPr>
        <w:spacing w:after="160" w:line="283" w:lineRule="auto"/>
      </w:pPr>
      <w:r>
        <w:rPr>
          <w:b w:val="0"/>
          <w:i w:val="0"/>
          <w:color w:val="222222"/>
          <w:sz w:val="21"/>
        </w:rPr>
        <w:t>O Rio Tietê nasce em Salesópolis (litoral leste de São Paulo) e percorre cerca de 1.100 km até desaguar no Rio Paraná, atravessando a Região Metropolitana de São Paulo e uma extensa zona agrícola e industrial antes de chegar à foz. O projeto divide esse percurso em três trechos de estudo — Alto, Médio e Baixo Tietê — e constrói, para cada um, uma plataforma computacional que combina três abordagens de modelagem historicamente tratadas em separado: um modelo biofísico determinístico (balanço hídrico + Streeter-Phelps), um modelo de Machine Learning estatístico (RandomForest) e um modelo baseado em agentes (ABM, via Mesa) que simula decisões de atores reais da bacia (Comitê de Bacia, Indústria, Agricultor, Concessionária, Poder Público).</w:t>
      </w:r>
    </w:p>
    <w:p>
      <w:pPr>
        <w:spacing w:after="160" w:line="283" w:lineRule="auto"/>
      </w:pPr>
      <w:r>
        <w:rPr>
          <w:b w:val="0"/>
          <w:i w:val="0"/>
          <w:color w:val="222222"/>
          <w:sz w:val="21"/>
        </w:rPr>
        <w:t>O objetivo central é permitir simular cenários de política hídrica (saneamento, fiscalização, outorga, uso de agrotóxicos, mudança climática) e observar como eles afetam a qualidade da água ao longo do tempo — com o histórico real (1978–2024, CETESB) como âncora de calibração e validação, não apenas dados sintéticos.</w:t>
      </w:r>
    </w:p>
    <w:p>
      <w:pPr>
        <w:keepNext/>
        <w:spacing w:before="240" w:after="80"/>
      </w:pPr>
      <w:r>
        <w:rPr>
          <w:b/>
          <w:color w:val="1F5FA8"/>
          <w:sz w:val="25"/>
        </w:rPr>
        <w:t>Princípio de engenharia central: nunca confundir dado real com simulado</w:t>
      </w:r>
    </w:p>
    <w:p>
      <w:pPr>
        <w:spacing w:after="160" w:line="283" w:lineRule="auto"/>
      </w:pPr>
      <w:r>
        <w:rPr>
          <w:b w:val="0"/>
          <w:i w:val="0"/>
          <w:color w:val="222222"/>
          <w:sz w:val="21"/>
        </w:rPr>
        <w:t>Toda tabela do pipeline carrega uma coluna de proveniência (`fonte_tipo`: observado/simulado), propagada da camada Bronze até a Gold. Onde existe medição real (CETESB, ANA/SNIRH, MapBiomas, Landsat, ERA5/CMIP6), ela tem prioridade; a série simulada (proxy histórico, 1940–2025) só preenche lacunas onde a medição real não existe. Essa distinção está no código, não apenas na documentação — os modelos de ML, por exemplo, são treinados por padrão só sobre anos com `fonte_tipo == "observado"`.</w:t>
      </w:r>
    </w:p>
    <w:p>
      <w:pPr>
        <w:keepNext/>
        <w:spacing w:before="400" w:after="160"/>
        <w:pBdr>
          <w:bottom w:val="single" w:sz="8" w:color="1F5FA8"/>
        </w:pBdr>
      </w:pPr>
      <w:r>
        <w:rPr>
          <w:b/>
          <w:color w:val="0F2E44"/>
          <w:sz w:val="32"/>
        </w:rPr>
        <w:t>2. Arquitetura de Dados (Medallion)</w:t>
      </w:r>
    </w:p>
    <w:p>
      <w:pPr>
        <w:spacing w:after="160" w:line="283" w:lineRule="auto"/>
      </w:pPr>
      <w:r>
        <w:rPr>
          <w:b w:val="0"/>
          <w:i w:val="0"/>
          <w:color w:val="222222"/>
          <w:sz w:val="21"/>
        </w:rPr>
        <w:t>O pipeline segue a arquitetura Medallion (Bronze/Silver/Gold), implementada com `deltalake` (bindings Python do delta-rs) — tabelas Delta reais, com log de transação ACID e particionamento por trecho, sem exigir infraestrutura Spark/Hadoop. Se o projeto precisar de processamento distribuído no futuro, o mesmo diretório de tabelas pode ser lido por um cluster Spark real, sem migração de dado.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Bronze — </w:t>
      </w:r>
      <w:r>
        <w:rPr>
          <w:sz w:val="21"/>
        </w:rPr>
        <w:t xml:space="preserve"> espelho fiel das fontes brutas, com proveniência (`_fonte_tipo`, `_source_file`).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Silver — </w:t>
      </w:r>
      <w:r>
        <w:rPr>
          <w:sz w:val="21"/>
        </w:rPr>
        <w:t xml:space="preserve"> schema único e limpo, granularidade por posto/estação/trecho.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Gold — </w:t>
      </w:r>
      <w:r>
        <w:rPr>
          <w:sz w:val="21"/>
        </w:rPr>
        <w:t xml:space="preserve"> agregações finais por trecho/ano, consumidas por ML, ABM e dashboard.</w:t>
      </w:r>
    </w:p>
    <w:p>
      <w:pPr>
        <w:keepNext/>
        <w:spacing w:before="240" w:after="80"/>
      </w:pPr>
      <w:r>
        <w:rPr>
          <w:b/>
          <w:color w:val="1F5FA8"/>
          <w:sz w:val="25"/>
        </w:rPr>
        <w:t>Fontes de dados reais integradas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41"/>
            <w:shd w:fill="1F5FA8"/>
          </w:tcPr>
          <w:p>
            <w:r/>
            <w:r>
              <w:rPr>
                <w:b/>
                <w:color w:val="FFFFFF"/>
                <w:sz w:val="19"/>
              </w:rPr>
              <w:t>Fonte</w:t>
            </w:r>
          </w:p>
        </w:tc>
        <w:tc>
          <w:tcPr>
            <w:tcW w:type="dxa" w:w="4082"/>
            <w:shd w:fill="1F5FA8"/>
          </w:tcPr>
          <w:p>
            <w:r/>
            <w:r>
              <w:rPr>
                <w:b/>
                <w:color w:val="FFFFFF"/>
                <w:sz w:val="19"/>
              </w:rPr>
              <w:t>O que fornece</w:t>
            </w:r>
          </w:p>
        </w:tc>
        <w:tc>
          <w:tcPr>
            <w:tcW w:type="dxa" w:w="2948"/>
            <w:shd w:fill="1F5FA8"/>
          </w:tcPr>
          <w:p>
            <w:r/>
            <w:r>
              <w:rPr>
                <w:b/>
                <w:color w:val="FFFFFF"/>
                <w:sz w:val="19"/>
              </w:rPr>
              <w:t>Cobertura real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CETESB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Qualidade da água (OD, DBO, metais pesados) — 32 estações do eixo do Tietê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1978–2024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ANA/SNIRH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Vazão e chuva (API pública telemetriaws1.ana.gov.br)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+1.762 linhas vazão / +6.355 chuva (2000–2026)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MapBiomas (Coleção 9)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Uso e cobertura do solo, via Google Earth Engine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1985–2023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Landsat (Earth Engine)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NDVI, temperatura de superfície, turbidez-proxy (NDTI)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1984–presente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Copernicus CDS (ERA5/CMIP6)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Reanálise climática histórica + projeções futuras SSP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ERA5 histórico + CMIP6 SSP1-2.6/2-4.5/5-8.5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DAEE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Vazão/chuva histórica por posto (arquivos locais)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Complementa ANA/SNIRH</w:t>
            </w:r>
          </w:p>
        </w:tc>
      </w:tr>
    </w:tbl>
    <w:p>
      <w:pPr>
        <w:spacing w:after="40"/>
      </w:pPr>
    </w:p>
    <w:p>
      <w:pPr>
        <w:spacing w:after="160" w:line="283" w:lineRule="auto"/>
      </w:pPr>
      <w:r>
        <w:rPr>
          <w:b w:val="0"/>
          <w:i/>
          <w:color w:val="55697A"/>
          <w:sz w:val="20"/>
        </w:rPr>
        <w:t>Duas fontes permanecem parcialmente simuladas, por decisão documentada e não por lacuna esquecida: a série de qualidade da água/solo anterior a 1978 (proxy baseado em tendências CETESB/DAEE/SOS Mata Atlântica) e o sensoriamento remoto ilustrativo pré-2026 (hoje já substituído, com prioridade, pela série real do Landsat onde há sobreposição temporal).</w:t>
      </w:r>
    </w:p>
    <w:p>
      <w:pPr>
        <w:keepNext/>
        <w:spacing w:before="400" w:after="160"/>
        <w:pBdr>
          <w:bottom w:val="single" w:sz="8" w:color="1F5FA8"/>
        </w:pBdr>
      </w:pPr>
      <w:r>
        <w:rPr>
          <w:b/>
          <w:color w:val="0F2E44"/>
          <w:sz w:val="32"/>
        </w:rPr>
        <w:t>3. Modelagem Híbrida — como as três peças se encaixam</w:t>
      </w:r>
    </w:p>
    <w:p>
      <w:pPr>
        <w:keepNext/>
        <w:spacing w:before="240" w:after="80"/>
      </w:pPr>
      <w:r>
        <w:rPr>
          <w:b/>
          <w:color w:val="1F5FA8"/>
          <w:sz w:val="25"/>
        </w:rPr>
        <w:t>Biofísico</w:t>
      </w:r>
    </w:p>
    <w:p>
      <w:pPr>
        <w:spacing w:after="160" w:line="283" w:lineRule="auto"/>
      </w:pPr>
      <w:r>
        <w:rPr>
          <w:b w:val="0"/>
          <w:i w:val="0"/>
          <w:color w:val="222222"/>
          <w:sz w:val="21"/>
        </w:rPr>
        <w:t>Balanço hídrico mensal simplificado (bucket linear, sem calibração de campo) produz um índice de escoamento, convertido em vazão simulada por um fator calibrado contra a média histórica real do trecho. A qualidade da água usa Streeter-Phelps clássico (coeficientes de literatura, não calibrados especificamente para o Tietê).</w:t>
      </w:r>
    </w:p>
    <w:p>
      <w:pPr>
        <w:keepNext/>
        <w:spacing w:before="240" w:after="80"/>
      </w:pPr>
      <w:r>
        <w:rPr>
          <w:b/>
          <w:color w:val="1F5FA8"/>
          <w:sz w:val="25"/>
        </w:rPr>
        <w:t>Modelo Baseado em Agentes (ABM)</w:t>
      </w:r>
    </w:p>
    <w:p>
      <w:pPr>
        <w:spacing w:after="160" w:line="283" w:lineRule="auto"/>
      </w:pPr>
      <w:r>
        <w:rPr>
          <w:b w:val="0"/>
          <w:i w:val="0"/>
          <w:color w:val="222222"/>
          <w:sz w:val="21"/>
        </w:rPr>
        <w:t>Implementado com o framework Mesa: 5 agentes por trecho (Comitê de Bacia, Indústria, Agricultor, Concessionária, Poder Público) ajustam outorga e carga poluidora a cada mês, com base no estado ecológico observado no mês anterior. `models.abm.scenarios.rodar_cenario()` roda o modelo completo — não são mais multiplicadores ilustrativos, alimenta diretamente a página "Comparativo de Cenários" do dashboard.</w:t>
      </w:r>
    </w:p>
    <w:p>
      <w:pPr>
        <w:keepNext/>
        <w:spacing w:before="240" w:after="80"/>
      </w:pPr>
      <w:r>
        <w:rPr>
          <w:b/>
          <w:color w:val="1F5FA8"/>
          <w:sz w:val="25"/>
        </w:rPr>
        <w:t>Machine Learning</w:t>
      </w:r>
    </w:p>
    <w:p>
      <w:pPr>
        <w:spacing w:after="160" w:line="283" w:lineRule="auto"/>
      </w:pPr>
      <w:r>
        <w:rPr>
          <w:b w:val="0"/>
          <w:i w:val="0"/>
          <w:color w:val="222222"/>
          <w:sz w:val="21"/>
        </w:rPr>
        <w:t>Um `RandomForestRegressor` por trecho (3 modelos independentes — um modelo único generaliza mal entre trechos, ver Seção 4) prevê IQA e Oxigênio Dissolvido a partir de preditoras anuais: ano, vazão, chuva, uso do solo real (MapBiomas) e lags/médias móveis do próprio IQA/OD. A previsão de anos futuros é recursiva — cada ano usa a previsão do ano anterior como lag, já que o valor real futuro não existe.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0F5FA"/>
            <w:tcBorders>
              <w:top w:val="single" w:sz="4" w:color="CCCCCC"/>
              <w:left w:val="single" w:sz="10" w:color="1F5FA8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/>
                <w:color w:val="0F2E44"/>
                <w:sz w:val="21"/>
              </w:rPr>
              <w:t>Limitação assumida deliberadamente:</w:t>
              <w:br/>
            </w:r>
            <w:r>
              <w:rPr>
                <w:color w:val="333333"/>
                <w:sz w:val="20"/>
              </w:rPr>
              <w:t>IQA é um proxy simplificado (0,6×OD normalizado + 0,4×DBO normalizado), não o índice oficial CETESB/NSF-WQI de 9 parâmetros — essa simplificação está documentada em todos os módulos que a usam, nunca apresentada como o cálculo oficial.</w:t>
            </w:r>
          </w:p>
        </w:tc>
      </w:tr>
    </w:tbl>
    <w:p>
      <w:pPr>
        <w:spacing w:after="40"/>
      </w:pPr>
    </w:p>
    <w:p>
      <w:pPr>
        <w:keepNext/>
        <w:spacing w:before="400" w:after="160"/>
        <w:pBdr>
          <w:bottom w:val="single" w:sz="8" w:color="1F5FA8"/>
        </w:pBdr>
      </w:pPr>
      <w:r>
        <w:rPr>
          <w:b/>
          <w:color w:val="0F2E44"/>
          <w:sz w:val="32"/>
        </w:rPr>
        <w:t>4. Resultados do Machine Learning</w:t>
      </w:r>
    </w:p>
    <w:p>
      <w:pPr>
        <w:spacing w:after="160" w:line="283" w:lineRule="auto"/>
      </w:pPr>
      <w:r>
        <w:rPr>
          <w:b w:val="0"/>
          <w:i w:val="0"/>
          <w:color w:val="222222"/>
          <w:sz w:val="21"/>
        </w:rPr>
        <w:t>A validação usa duas rotas complementares: um split temporal simples (treino até 2014, teste 2015 em diante) e uma validação walk-forward (expanding window) que testa o modelo ano a ano, revelando estabilidade — não só um número médio. A tabela abaixo resume o walk-forward real (11 folds por trecho/alvo), comparado a um baseline de persistência ("previsto = valor do ano anterior").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701"/>
            <w:shd w:fill="1F5FA8"/>
          </w:tcPr>
          <w:p>
            <w:r/>
            <w:r>
              <w:rPr>
                <w:b/>
                <w:color w:val="FFFFFF"/>
                <w:sz w:val="19"/>
              </w:rPr>
              <w:t>Trecho</w:t>
            </w:r>
          </w:p>
        </w:tc>
        <w:tc>
          <w:tcPr>
            <w:tcW w:type="dxa" w:w="1474"/>
            <w:shd w:fill="1F5FA8"/>
          </w:tcPr>
          <w:p>
            <w:r/>
            <w:r>
              <w:rPr>
                <w:b/>
                <w:color w:val="FFFFFF"/>
                <w:sz w:val="19"/>
              </w:rPr>
              <w:t>Alvo</w:t>
            </w:r>
          </w:p>
        </w:tc>
        <w:tc>
          <w:tcPr>
            <w:tcW w:type="dxa" w:w="1474"/>
            <w:shd w:fill="1F5FA8"/>
          </w:tcPr>
          <w:p>
            <w:r/>
            <w:r>
              <w:rPr>
                <w:b/>
                <w:color w:val="FFFFFF"/>
                <w:sz w:val="19"/>
              </w:rPr>
              <w:t>MAE médio</w:t>
            </w:r>
          </w:p>
        </w:tc>
        <w:tc>
          <w:tcPr>
            <w:tcW w:type="dxa" w:w="1587"/>
            <w:shd w:fill="1F5FA8"/>
          </w:tcPr>
          <w:p>
            <w:r/>
            <w:r>
              <w:rPr>
                <w:b/>
                <w:color w:val="FFFFFF"/>
                <w:sz w:val="19"/>
              </w:rPr>
              <w:t>MAE baseline</w:t>
            </w:r>
          </w:p>
        </w:tc>
        <w:tc>
          <w:tcPr>
            <w:tcW w:type="dxa" w:w="2721"/>
            <w:shd w:fill="1F5FA8"/>
          </w:tcPr>
          <w:p>
            <w:r/>
            <w:r>
              <w:rPr>
                <w:b/>
                <w:color w:val="FFFFFF"/>
                <w:sz w:val="19"/>
              </w:rPr>
              <w:t>% folds que superam baseline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Alto Tietê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IQA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6,41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5,93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36,4%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Alto Tietê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OD (mg/L)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0,29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0,24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36,4%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Médio Tietê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IQA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7,09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10,27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81,8%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Médio Tietê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OD (mg/L)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0,48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0,50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45,5%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Baixo Tietê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IQA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4,84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5,63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63,6%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Baixo Tietê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OD (mg/L)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0,37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0,56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63,6%</w:t>
            </w:r>
          </w:p>
        </w:tc>
      </w:tr>
    </w:tbl>
    <w:p>
      <w:pPr>
        <w:spacing w:after="40"/>
      </w:pPr>
    </w:p>
    <w:p>
      <w:pPr>
        <w:spacing w:after="160" w:line="283" w:lineRule="auto"/>
      </w:pPr>
      <w:r>
        <w:rPr>
          <w:b w:val="0"/>
          <w:i/>
          <w:color w:val="55697A"/>
          <w:sz w:val="20"/>
        </w:rPr>
        <w:t>Leitura honesta do resultado: o Médio Tietê tem o ganho mais consistente sobre o baseline (supera em 8 de 11 folds para IQA). O Alto Tietê é o mais fraco — supera o baseline em pouco mais de um terço dos folds, sinal de que a série ali é mais difícil de prever que um simples "repetir o ano passado". Essa quebra por trecho só existe porque a auditoria de ML de 2026-07 identificou que métricas agregadas escondiam esse tipo de trecho fraco atrás de trechos bons.</w:t>
      </w:r>
    </w:p>
    <w:p>
      <w:pPr>
        <w:keepNext/>
        <w:spacing w:before="240" w:after="80"/>
      </w:pPr>
      <w:r>
        <w:rPr>
          <w:b/>
          <w:color w:val="1F5FA8"/>
          <w:sz w:val="25"/>
        </w:rPr>
        <w:t>Principais achados da auditoria de ML (2026-07)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Vazamento temporal — </w:t>
      </w:r>
      <w:r>
        <w:rPr>
          <w:sz w:val="21"/>
        </w:rPr>
        <w:t xml:space="preserve"> a granularidade mensal antiga vazava o próprio alvo (`iqa_lag1m` quase sempre igual ao valor a prever, porque a série anual é repetida em todos os meses). Corrigido: treino hoje é 100% anual.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Generalização espacial — </w:t>
      </w:r>
      <w:r>
        <w:rPr>
          <w:sz w:val="21"/>
        </w:rPr>
        <w:t xml:space="preserve"> um modelo único com `trecho_id` como feature teve R² negativo em toda transferência Alto↔Médio↔Baixo. Corrigido: 3 modelos independentes.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Qualidade desigual de vazão — </w:t>
      </w:r>
      <w:r>
        <w:rPr>
          <w:sz w:val="21"/>
        </w:rPr>
        <w:t xml:space="preserve"> a série de vazão do Baixo Tietê tem uma quebra estrutural (~1980) — removida como preditora só nesse trecho, para não injetar ruído disfarçado de sinal.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Uso do solo real — </w:t>
      </w:r>
      <w:r>
        <w:rPr>
          <w:sz w:val="21"/>
        </w:rPr>
        <w:t xml:space="preserve"> percentual real de área por uso do solo (natural/agropecuária/urbano-industrial/água), MapBiomas, passou a ser preditora — fecha uma lacuna que a pesquisa original identificava.</w:t>
      </w:r>
    </w:p>
    <w:p>
      <w:pPr>
        <w:keepNext/>
        <w:spacing w:before="400" w:after="160"/>
        <w:pBdr>
          <w:bottom w:val="single" w:sz="8" w:color="1F5FA8"/>
        </w:pBdr>
      </w:pPr>
      <w:r>
        <w:rPr>
          <w:b/>
          <w:color w:val="0F2E44"/>
          <w:sz w:val="32"/>
        </w:rPr>
        <w:t>5. Calibração Climática Real (ERA5/CMIP6)</w:t>
      </w:r>
    </w:p>
    <w:p>
      <w:pPr>
        <w:spacing w:after="160" w:line="283" w:lineRule="auto"/>
      </w:pPr>
      <w:r>
        <w:rPr>
          <w:b w:val="0"/>
          <w:i w:val="0"/>
          <w:color w:val="222222"/>
          <w:sz w:val="21"/>
        </w:rPr>
        <w:t>O cenário "Mudança Climática Extrema" do ABM usava um proxy fixo de -25% (`fator_clima = 0,75`) para representar o efeito da mudança climática sobre a vazão. Em 2026-07, esse fator foi recalculado contra dado real da Copernicus Climate Data Store: reanálise ERA5 histórica como baseline (1995–2014) comparada à projeção CMIP6 do cenário SSP5-8.5 (2040–2060), modelo `mpi_esm1_2_lr`.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0F5FA"/>
            <w:tcBorders>
              <w:top w:val="single" w:sz="4" w:color="CCCCCC"/>
              <w:left w:val="single" w:sz="10" w:color="1F5FA8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/>
                <w:color w:val="0F2E44"/>
                <w:sz w:val="21"/>
              </w:rPr>
              <w:t>Resultado real:</w:t>
              <w:br/>
            </w:r>
            <w:r>
              <w:rPr>
                <w:color w:val="333333"/>
                <w:sz w:val="20"/>
              </w:rPr>
              <w:t>fator_clima = 0,982 — um efeito muito menos severo que o proxy fixo de -25% usado antes da calibração. `models.abm.scenarios` já lê esse valor automaticamente (arquivo `data/fator_clima_cmip6.json`, sem necessidade de rede em tempo de execução).</w:t>
            </w:r>
          </w:p>
        </w:tc>
      </w:tr>
    </w:tbl>
    <w:p>
      <w:pPr>
        <w:spacing w:after="40"/>
      </w:pPr>
    </w:p>
    <w:p>
      <w:pPr>
        <w:spacing w:after="160" w:line="283" w:lineRule="auto"/>
      </w:pPr>
      <w:r>
        <w:rPr>
          <w:b w:val="0"/>
          <w:i w:val="0"/>
          <w:color w:val="55697A"/>
          <w:sz w:val="20"/>
        </w:rPr>
        <w:t>A execução real revelou três divergências entre o formato assumido na pesquisa original e o formato real de resposta da API: ERA5 devolve temperatura e precipitação em arquivos NetCDF separados dentro do zip (com timestamps defasados entre si); o identificador de experimento CMIP6 exige underscores (`ssp5_8_5`, não `ssp585`); e pedir temperatura+precipitação juntas numa mesma requisição CMIP6 faz a API descartar a precipitação silenciosamente. As três foram corrigidas e a execução revalidada com dado real.</w:t>
      </w:r>
    </w:p>
    <w:p>
      <w:pPr>
        <w:keepNext/>
        <w:spacing w:before="400" w:after="160"/>
        <w:pBdr>
          <w:bottom w:val="single" w:sz="8" w:color="1F5FA8"/>
        </w:pBdr>
      </w:pPr>
      <w:r>
        <w:rPr>
          <w:b/>
          <w:color w:val="0F2E44"/>
          <w:sz w:val="32"/>
        </w:rPr>
        <w:t>6. Dashboard e Entregáveis</w:t>
      </w:r>
    </w:p>
    <w:p>
      <w:pPr>
        <w:keepNext/>
        <w:spacing w:before="240" w:after="80"/>
      </w:pPr>
      <w:r>
        <w:rPr>
          <w:b/>
          <w:color w:val="1F5FA8"/>
          <w:sz w:val="25"/>
        </w:rPr>
        <w:t>Dashboard web (Streamlit)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Home + KPIs — </w:t>
      </w:r>
      <w:r>
        <w:rPr>
          <w:sz w:val="21"/>
        </w:rPr>
        <w:t xml:space="preserve"> indicadores em tempo real por trecho, mapa das 32 estações reais.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Mapa Interativo — </w:t>
      </w:r>
      <w:r>
        <w:rPr>
          <w:sz w:val="21"/>
        </w:rPr>
        <w:t xml:space="preserve"> folium, camadas de qualidade da água e sensoriamento remoto.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Séries Históricas — </w:t>
      </w:r>
      <w:r>
        <w:rPr>
          <w:sz w:val="21"/>
        </w:rPr>
        <w:t xml:space="preserve"> vazão, chuva e qualidade da água por trecho ao longo do tempo.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Cenários Futuros — </w:t>
      </w:r>
      <w:r>
        <w:rPr>
          <w:sz w:val="21"/>
        </w:rPr>
        <w:t xml:space="preserve"> sliders de política (saneamento, fiscalização, agrotóxicos, outorga, horizonte, clima), KPIs, trajetória 2D e animação 3D do ABM.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Comparativo de Cenários — </w:t>
      </w:r>
      <w:r>
        <w:rPr>
          <w:sz w:val="21"/>
        </w:rPr>
        <w:t xml:space="preserve"> ABM completo lado a lado entre cenários nomeados, incluindo propostas salvas pela comunidade.</w:t>
      </w:r>
    </w:p>
    <w:p>
      <w:pPr>
        <w:keepNext/>
        <w:spacing w:before="240" w:after="80"/>
      </w:pPr>
      <w:r>
        <w:rPr>
          <w:b/>
          <w:color w:val="1F5FA8"/>
          <w:sz w:val="25"/>
        </w:rPr>
        <w:t>Relatórios formais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EDA_Integrada_Rio_Tiete.docx — </w:t>
      </w:r>
      <w:r>
        <w:rPr>
          <w:sz w:val="21"/>
        </w:rPr>
        <w:t xml:space="preserve"> Análise Exploratória de Dados integrada (28 seções).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Auditoria_Engenharia_Dados_WaterWeave_Tiete.docx — </w:t>
      </w:r>
      <w:r>
        <w:rPr>
          <w:sz w:val="21"/>
        </w:rPr>
        <w:t xml:space="preserve"> achado crítico de proveniência de dados + 3 novas fontes reais integradas.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Relatorio_Algoritmos_EDA_Rio_Tiete.docx — </w:t>
      </w:r>
      <w:r>
        <w:rPr>
          <w:sz w:val="21"/>
        </w:rPr>
        <w:t xml:space="preserve"> 21 capítulos didáticos sobre os métodos usados (walk-forward, Earth Engine, Copernicus CDS, etc.).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WaterWeave_Tiete_Apresentacao.pptx — </w:t>
      </w:r>
      <w:r>
        <w:rPr>
          <w:sz w:val="21"/>
        </w:rPr>
        <w:t xml:space="preserve"> apresentação técnica de 18 slides.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Infografico_Bacia_Rio_Tiete.png/.jpg — </w:t>
      </w:r>
      <w:r>
        <w:rPr>
          <w:sz w:val="21"/>
        </w:rPr>
        <w:t xml:space="preserve"> infográfico completo da bacia com traçado real do rio (OpenStreetMap), afluentes, reservatórios e estatísticas reais por trecho.</w:t>
      </w:r>
    </w:p>
    <w:p>
      <w:pPr>
        <w:keepNext/>
        <w:spacing w:before="400" w:after="160"/>
        <w:pBdr>
          <w:bottom w:val="single" w:sz="8" w:color="1F5FA8"/>
        </w:pBdr>
      </w:pPr>
      <w:r>
        <w:rPr>
          <w:b/>
          <w:color w:val="0F2E44"/>
          <w:sz w:val="32"/>
        </w:rPr>
        <w:t>7. Limitações Documentadas</w:t>
      </w:r>
    </w:p>
    <w:p>
      <w:pPr>
        <w:spacing w:after="160" w:line="283" w:lineRule="auto"/>
      </w:pPr>
      <w:r>
        <w:rPr>
          <w:b w:val="0"/>
          <w:i w:val="0"/>
          <w:color w:val="222222"/>
          <w:sz w:val="21"/>
        </w:rPr>
        <w:t>Todas as simplificações abaixo estão documentadas nos próprios módulos de código — nenhuma é uma lacuna escondida: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IQA — </w:t>
      </w:r>
      <w:r>
        <w:rPr>
          <w:sz w:val="21"/>
        </w:rPr>
        <w:t xml:space="preserve"> proxy simplificado (OD/DBO), não o índice oficial CETESB/NSF-WQI de 9 parâmetros.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Sem encadeamento hidrológico entre trechos — </w:t>
      </w:r>
      <w:r>
        <w:rPr>
          <w:sz w:val="21"/>
        </w:rPr>
        <w:t xml:space="preserve"> cada trecho é simulado de forma independente no ABM; vazão/carga poluidora não é propagada de montante para jusante (Alto → Médio → Baixo).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Coeficientes não calibrados — </w:t>
      </w:r>
      <w:r>
        <w:rPr>
          <w:sz w:val="21"/>
        </w:rPr>
        <w:t xml:space="preserve"> balanço hídrico e coeficientes de Streeter-Phelps usam valores de literatura, não calibrados especificamente para o Tietê.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Geometria de uso do solo é aproximada — </w:t>
      </w:r>
      <w:r>
        <w:rPr>
          <w:sz w:val="21"/>
        </w:rPr>
        <w:t xml:space="preserve"> percentual de uso do solo é medido num buffer de 5 km ao redor das estações de monitoramento — um proxy da vizinhança, não a bacia de drenagem real a montante (exigiria um DEM + acumulação de fluxo).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Conector CETESB incremental — </w:t>
      </w:r>
      <w:r>
        <w:rPr>
          <w:sz w:val="21"/>
        </w:rPr>
        <w:t xml:space="preserve"> o histórico consolidado (1978–2024) está resolvido; a atualização incremental pós-2024 permanece um stub deliberado — a CETESB não expõe hoje uma API programática equivalente à da ANA.</w:t>
      </w:r>
    </w:p>
    <w:p>
      <w:pPr>
        <w:keepNext/>
        <w:spacing w:before="400" w:after="160"/>
        <w:pBdr>
          <w:bottom w:val="single" w:sz="8" w:color="1F5FA8"/>
        </w:pBdr>
      </w:pPr>
      <w:r>
        <w:rPr>
          <w:b/>
          <w:color w:val="0F2E44"/>
          <w:sz w:val="32"/>
        </w:rPr>
        <w:t>8. Próximos Passos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Encadeamento entre trechos — </w:t>
      </w:r>
      <w:r>
        <w:rPr>
          <w:sz w:val="21"/>
        </w:rPr>
        <w:t xml:space="preserve"> propagar vazão/carga poluidora de montante para jusante no ABM (Alto → Médio → Baixo) — extensão mais natural do modelo atual.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Backfill incremental da ANA — </w:t>
      </w:r>
      <w:r>
        <w:rPr>
          <w:sz w:val="21"/>
        </w:rPr>
        <w:t xml:space="preserve"> `monthly_job.main()` já usa a data da última execução bem-sucedida; a rodada inicial usou uma janela manual (desde 2000) para um backfill rápido.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Conector CETESB incremental — </w:t>
      </w:r>
      <w:r>
        <w:rPr>
          <w:sz w:val="21"/>
        </w:rPr>
        <w:t xml:space="preserve"> se a CETESB publicar uma API REST documentada, ou se uma automação de navegador contra o INFOÁGUAS for priorizada, o stub do conector é substituído por uma implementação real.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1"/>
        </w:rPr>
        <w:t xml:space="preserve">Calibração de sensoriamento remoto — </w:t>
      </w:r>
      <w:r>
        <w:rPr>
          <w:sz w:val="21"/>
        </w:rPr>
        <w:t xml:space="preserve"> os índices espectrais do Landsat (NDVI, proxy NDTI de turbidez) ainda não foram calibrados contra medição in situ do Tietê — pré-requisito antes de usá-los como preditora de ML.</w:t>
      </w:r>
    </w:p>
    <w:p>
      <w:pPr>
        <w:spacing w:after="80"/>
      </w:pPr>
    </w:p>
    <w:p>
      <w:pPr>
        <w:spacing w:before="480"/>
      </w:pPr>
      <w:r>
        <w:rPr>
          <w:i/>
          <w:color w:val="889199"/>
          <w:sz w:val="18"/>
        </w:rPr>
        <w:t>Este resumo é uma síntese de alto nível — o detalhamento técnico completo de cada item está nos relatórios EDA, Auditoria de Engenharia de Dados e Algoritmos, e no README.md do repositório.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