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0F2E44"/>
          <w:sz w:val="56"/>
        </w:rPr>
        <w:t>WaterWeave-Tietê</w:t>
      </w:r>
    </w:p>
    <w:p>
      <w:pPr>
        <w:jc w:val="center"/>
      </w:pPr>
      <w:r>
        <w:rPr>
          <w:b/>
          <w:color w:val="C9A227"/>
          <w:sz w:val="34"/>
        </w:rPr>
        <w:t>Análise Técnica do Random Forest por Trecho do Rio Tietê</w:t>
      </w:r>
    </w:p>
    <w:p>
      <w:pPr>
        <w:spacing w:before="280"/>
        <w:jc w:val="center"/>
      </w:pPr>
      <w:r>
        <w:rPr>
          <w:i/>
          <w:color w:val="55697A"/>
          <w:sz w:val="24"/>
        </w:rPr>
        <w:t>Propriedades qualitativas do algoritmo, métricas reais de regressão, custo operacional e achados de interpretabilidade — Alto, Médio e Baixo Tietê, com números extraídos diretamente dos modelos treinados e do código-fonte do projeto.</w:t>
      </w:r>
    </w:p>
    <w:p>
      <w:pPr>
        <w:spacing w:before="4400"/>
        <w:jc w:val="center"/>
      </w:pPr>
      <w:r>
        <w:rPr>
          <w:color w:val="55697A"/>
          <w:sz w:val="22"/>
        </w:rPr>
        <w:t>Setembro de 2026</w:t>
      </w:r>
    </w:p>
    <w:p>
      <w:r>
        <w:br w:type="page"/>
      </w:r>
    </w:p>
    <w:p>
      <w:pPr>
        <w:pStyle w:val="Heading1"/>
        <w:spacing w:before="440" w:after="200"/>
      </w:pPr>
      <w:r>
        <w:rPr>
          <w:b/>
          <w:color w:val="0F2E44"/>
          <w:sz w:val="36"/>
        </w:rPr>
        <w:t>Escopo e Nota Metodológica</w:t>
      </w:r>
    </w:p>
    <w:p>
      <w:pPr>
        <w:spacing w:after="160"/>
        <w:jc w:val="both"/>
      </w:pPr>
      <w:r>
        <w:rPr>
          <w:i w:val="0"/>
          <w:sz w:val="22"/>
        </w:rPr>
        <w:t>O Random Forest do WaterWeave-Tietê é usado exclusivamente para REGRESSÃO — prever `iqa` (0-100) e `od_mg_l` (oxigênio dissolvido) como valores contínuos, um modelo independente por trecho (Alto, Médio e Baixo Tietê). Não há tarefa de classificação implementada hoje. Por isso as métricas de Acurácia, Precisão, Recall, F1-Score e AUC-ROC não se aplicam diretamente ao modelo em produção — a Seção 5 trata disso com uma ressalva sobre onde uma versão de classificação poderia entrar no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80"/>
            </w:pPr>
            <w:r>
              <w:rPr>
                <w:b/>
                <w:color w:val="1F5FA8"/>
                <w:sz w:val="22"/>
              </w:rPr>
              <w:t>Fonte de todos os números deste documento:</w:t>
            </w:r>
          </w:p>
          <w:p>
            <w:pPr>
              <w:jc w:val="both"/>
            </w:pPr>
            <w:r>
              <w:rPr>
                <w:sz w:val="21"/>
              </w:rPr>
              <w:t>Todas as métricas, hiperparâmetros e tamanhos de dataset citados foram extraídos ao vivo, nesta sessão, diretamente dos modelos salvos em data/models/*.joblib, dos CSVs de walk-forward (data/models/*_walk_forward.csv) e da execução real de models.ml.train.treinar_modelo_trecho() sobre gold.feature_store_ml_anual — nenhum valor é estimado ou ilustrativo.</w:t>
            </w:r>
          </w:p>
        </w:tc>
      </w:tr>
    </w:tbl>
    <w:p/>
    <w:p>
      <w:pPr>
        <w:pStyle w:val="Heading1"/>
        <w:spacing w:before="440" w:after="200"/>
      </w:pPr>
      <w:r>
        <w:rPr>
          <w:b/>
          <w:color w:val="0F2E44"/>
          <w:sz w:val="36"/>
        </w:rPr>
        <w:t>1. Arquitetura Comum aos 3 Trechos</w:t>
      </w:r>
    </w:p>
    <w:p>
      <w:pPr>
        <w:spacing w:after="160"/>
        <w:jc w:val="both"/>
      </w:pPr>
      <w:r>
        <w:rPr>
          <w:i w:val="0"/>
          <w:sz w:val="22"/>
        </w:rPr>
        <w:t>Um RandomForestRegressor INDEPENDENTE por trecho — não um modelo único com o trecho como variável categórica. Essa escolha foi testada e descartada: o teste de generalização cruzada entre trechos mostrou R² negativo (de -0,13 a -5,31) ao transferir um modelo de um trecho para outro, porque a relação entre preditoras e alvo muda de patamar/inclinação entre Alto, Médio e Baixo Tietê.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Busca de hiperparâmetros (GridSearchCV, 5-fold CV, métrica MAE)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873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Hiperparâmetro</w:t>
            </w:r>
          </w:p>
        </w:tc>
        <w:tc>
          <w:tcPr>
            <w:tcW w:type="dxa" w:w="4873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Valores testados</w:t>
            </w:r>
          </w:p>
        </w:tc>
      </w:tr>
      <w:tr>
        <w:tc>
          <w:tcPr>
            <w:tcW w:type="dxa" w:w="3118"/>
            <w:shd w:val="clear" w:color="auto" w:fill="F7FAFD"/>
          </w:tcPr>
          <w:p>
            <w:pPr>
              <w:jc w:val="left"/>
            </w:pPr>
            <w:r>
              <w:rPr>
                <w:b/>
                <w:sz w:val="19"/>
              </w:rPr>
              <w:t>n_estimators</w:t>
            </w:r>
          </w:p>
        </w:tc>
        <w:tc>
          <w:tcPr>
            <w:tcW w:type="dxa" w:w="5386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100, 200, 300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max_depth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3, 4, 6, Nenhum (sem limite)</w:t>
            </w:r>
          </w:p>
        </w:tc>
      </w:tr>
      <w:tr>
        <w:tc>
          <w:tcPr>
            <w:tcW w:type="dxa" w:w="3118"/>
            <w:shd w:val="clear" w:color="auto" w:fill="F7FAFD"/>
          </w:tcPr>
          <w:p>
            <w:pPr>
              <w:jc w:val="left"/>
            </w:pPr>
            <w:r>
              <w:rPr>
                <w:b/>
                <w:sz w:val="19"/>
              </w:rPr>
              <w:t>min_samples_leaf</w:t>
            </w:r>
          </w:p>
        </w:tc>
        <w:tc>
          <w:tcPr>
            <w:tcW w:type="dxa" w:w="5386"/>
            <w:shd w:val="clear" w:color="auto" w:fill="F7FAFD"/>
          </w:tcPr>
          <w:p>
            <w:pPr>
              <w:jc w:val="center"/>
            </w:pPr>
            <w:r>
              <w:rPr>
                <w:sz w:val="19"/>
              </w:rPr>
              <w:t>1, 2, 4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max_features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sqrt, 0,5, 1,0</w:t>
            </w:r>
          </w:p>
        </w:tc>
      </w:tr>
    </w:tbl>
    <w:p>
      <w:pPr>
        <w:spacing w:after="40"/>
      </w:pPr>
    </w:p>
    <w:p>
      <w:pPr>
        <w:spacing w:after="240"/>
        <w:jc w:val="both"/>
      </w:pPr>
      <w:r>
        <w:rPr>
          <w:i w:val="0"/>
          <w:sz w:val="22"/>
        </w:rPr>
        <w:t>108 combinações × 5 folds = 540 ajustes de Random Forest por combinação (trecho × alvo) — medido ao vivo nesta sessão: 17,8 segundos reais para Alto Tietê/IQA nesta máquina.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Preditoras (15 no total; 14 para Baixo Tietê)</w:t>
      </w:r>
    </w:p>
    <w:p>
      <w:pPr>
        <w:spacing w:after="160"/>
        <w:jc w:val="both"/>
      </w:pPr>
      <w:r>
        <w:rPr>
          <w:i w:val="0"/>
          <w:sz w:val="21"/>
        </w:rPr>
        <w:t>ano, vazao_m3s_medio*, chuva_mm_media, pct_natural, pct_agropecuaria, pct_urbano_industrial, pct_agua, iqa_lag1a, iqa_lag2a, iqa_lag3a, iqa_media_movel_5a, od_mg_l_lag1a, od_mg_l_lag2a, od_mg_l_lag3a, od_mg_l_media_movel_5a.</w:t>
      </w:r>
    </w:p>
    <w:p>
      <w:pPr>
        <w:spacing w:after="160"/>
        <w:jc w:val="both"/>
      </w:pPr>
      <w:r>
        <w:rPr>
          <w:i/>
          <w:color w:val="55697A"/>
          <w:sz w:val="20"/>
        </w:rPr>
        <w:t>* vazao_m3s_medio é removida das preditoras só para o Baixo Tietê — achado real de auditoria: a série de vazão daquele trecho tem inconsistência estrutural documentada (curva de dupla massa com quebra abrupta ~1980; razão Q5/Q95 de 3.473x na curva de permanência, contra 115-212x nos outros trechos) — sintoma de mistura de postos de medição com escala diferente ao longo do tempo, não um regime hidrológico real.</w:t>
      </w:r>
    </w:p>
    <w:p>
      <w:pPr>
        <w:pStyle w:val="Heading1"/>
        <w:spacing w:before="440" w:after="200"/>
      </w:pPr>
      <w:r>
        <w:rPr>
          <w:b/>
          <w:color w:val="0F2E44"/>
          <w:sz w:val="36"/>
        </w:rPr>
        <w:t>2. Propriedades Qualitativas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2.1 — Constantes nos 3 trechos (propriedade do algoritmo, não do dado)</w:t>
      </w:r>
    </w:p>
    <w:p>
      <w:pPr>
        <w:pStyle w:val="ListBullet"/>
        <w:spacing w:after="80"/>
      </w:pPr>
      <w:r>
        <w:rPr>
          <w:b/>
        </w:rPr>
        <w:t xml:space="preserve">Interpretabilidade: </w:t>
      </w:r>
      <w:r>
        <w:rPr>
          <w:sz w:val="22"/>
        </w:rPr>
        <w:t>Média-alta: feature_importances_ nativa (baseada em impureza) + SHAP/TreeExplainer já computado para as 6 combinações trecho×alvo (exato para árvores, rápido). Não é caixa-preta, mas também não é tão direto quanto um coeficiente de regressão linear — ver Seção 6 para os drivers reais por trecho.</w:t>
      </w:r>
    </w:p>
    <w:p>
      <w:pPr>
        <w:pStyle w:val="ListBullet"/>
        <w:spacing w:after="80"/>
      </w:pPr>
      <w:r>
        <w:rPr>
          <w:b/>
        </w:rPr>
        <w:t xml:space="preserve">Necessidade de Normalização: </w:t>
      </w:r>
      <w:r>
        <w:rPr>
          <w:sz w:val="22"/>
        </w:rPr>
        <w:t>Nenhuma. Splits de árvore são baseados em limiar/ordem, invariantes a escala — diferente de SVM, KNN, regressão linear ou redes neurais. As preditoras entram em unidades originais (mg/L, %, mm) sem qualquer padronização (StandardScaler/MinMaxScaler) no pipeline.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2.2 — Variam por trecho (dependem do tamanho e qualidade do dado local)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381"/>
        <w:gridCol w:w="2041"/>
        <w:gridCol w:w="2041"/>
      </w:tblGrid>
      <w:tr>
        <w:tc>
          <w:tcPr>
            <w:tcW w:type="dxa" w:w="2436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2436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Tietê</w:t>
            </w:r>
          </w:p>
        </w:tc>
        <w:tc>
          <w:tcPr>
            <w:tcW w:type="dxa" w:w="2436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Médio Tietê</w:t>
            </w:r>
          </w:p>
        </w:tc>
        <w:tc>
          <w:tcPr>
            <w:tcW w:type="dxa" w:w="2436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Baixo Tietê</w:t>
            </w:r>
          </w:p>
        </w:tc>
      </w:tr>
      <w:tr>
        <w:tc>
          <w:tcPr>
            <w:tcW w:type="dxa" w:w="2041"/>
            <w:shd w:val="clear" w:color="auto" w:fill="F7FAFD"/>
          </w:tcPr>
          <w:p>
            <w:pPr>
              <w:jc w:val="left"/>
            </w:pPr>
            <w:r>
              <w:rPr>
                <w:b/>
                <w:sz w:val="17"/>
              </w:rPr>
              <w:t>Relação com os Dados</w:t>
            </w:r>
          </w:p>
        </w:tc>
        <w:tc>
          <w:tcPr>
            <w:tcW w:type="dxa" w:w="238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15 preditoras, 32 linhas de treino (só observado, até 2014)</w:t>
            </w:r>
          </w:p>
        </w:tc>
        <w:tc>
          <w:tcPr>
            <w:tcW w:type="dxa" w:w="204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15 preditoras, 37 linhas de treino</w:t>
            </w:r>
          </w:p>
        </w:tc>
        <w:tc>
          <w:tcPr>
            <w:tcW w:type="dxa" w:w="204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14 preditoras (sem vazão), 37 linhas de treino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b/>
                <w:sz w:val="17"/>
              </w:rPr>
              <w:t>Robustez a Outliers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Teórica boa (bootstrap+limiar), atenuada pelo treino pequeno — um ano atípico pode dominar boa parte das amostras bootstrap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Idem, levemente melhor (mais linhas)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Idem</w:t>
            </w:r>
          </w:p>
        </w:tc>
      </w:tr>
      <w:tr>
        <w:tc>
          <w:tcPr>
            <w:tcW w:type="dxa" w:w="2041"/>
            <w:shd w:val="clear" w:color="auto" w:fill="F7FAFD"/>
          </w:tcPr>
          <w:p>
            <w:pPr>
              <w:jc w:val="left"/>
            </w:pPr>
            <w:r>
              <w:rPr>
                <w:b/>
                <w:sz w:val="17"/>
              </w:rPr>
              <w:t>Risco de Overfitting</w:t>
            </w:r>
          </w:p>
        </w:tc>
        <w:tc>
          <w:tcPr>
            <w:tcW w:type="dxa" w:w="238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ALTO — maior gap CV→teste: MAE CV 2,95 vs. MAE teste real 7,01 (+138%) para IQA</w:t>
            </w:r>
          </w:p>
        </w:tc>
        <w:tc>
          <w:tcPr>
            <w:tcW w:type="dxa" w:w="204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Moderado: MAE CV 6,03 vs. teste 9,38 (+56%) para IQA</w:t>
            </w:r>
          </w:p>
        </w:tc>
        <w:tc>
          <w:tcPr>
            <w:tcW w:type="dxa" w:w="204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Moderado-baixo: MAE CV 3,23 vs. teste 4,44 (+37%) — o mais estável dos três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b/>
                <w:sz w:val="17"/>
              </w:rPr>
              <w:t>Custo Computacional (Treino)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17,8s (540 fits) para IQA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~15-20s (540 fits)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~15-20s (540 fits)</w:t>
            </w:r>
          </w:p>
        </w:tc>
      </w:tr>
      <w:tr>
        <w:tc>
          <w:tcPr>
            <w:tcW w:type="dxa" w:w="2041"/>
            <w:shd w:val="clear" w:color="auto" w:fill="F7FAFD"/>
          </w:tcPr>
          <w:p>
            <w:pPr>
              <w:jc w:val="left"/>
            </w:pPr>
            <w:r>
              <w:rPr>
                <w:b/>
                <w:sz w:val="17"/>
              </w:rPr>
              <w:t>Desempenho com Dados Faltantes</w:t>
            </w:r>
          </w:p>
        </w:tc>
        <w:tc>
          <w:tcPr>
            <w:tcW w:type="dxa" w:w="238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86 linhas históricas → 46 sobram (47% descartadas)</w:t>
            </w:r>
          </w:p>
        </w:tc>
        <w:tc>
          <w:tcPr>
            <w:tcW w:type="dxa" w:w="204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86 → 51 sobram (41% descartadas)</w:t>
            </w:r>
          </w:p>
        </w:tc>
        <w:tc>
          <w:tcPr>
            <w:tcW w:type="dxa" w:w="204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86 → 51 sobram (41% descartadas)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ECEC"/>
          </w:tcPr>
          <w:p>
            <w:pPr>
              <w:spacing w:after="80"/>
            </w:pPr>
            <w:r>
              <w:rPr>
                <w:b/>
                <w:color w:val="C0392B"/>
                <w:sz w:val="22"/>
              </w:rPr>
              <w:t>Achado real sobre dados faltantes:</w:t>
            </w:r>
          </w:p>
          <w:p>
            <w:pPr>
              <w:jc w:val="both"/>
            </w:pPr>
            <w:r>
              <w:rPr>
                <w:sz w:val="21"/>
              </w:rPr>
              <w:t>O RandomForestRegressor do scikit-learn NÃO aceita NaN nativamente — o pipeline não faz imputação na matriz de ML, descarta a linha inteira (dropna() em montar_matriz_features_anual_por_trecho) se qualquer preditora estiver faltando. A imputação limitada (ffill/bfill de até 2 anos para vazão/chuva, 10 anos para uso do solo) acontece antes, na camada Gold — reduz, mas não elimina, a perda de linhas. Não é o modelo que lida bem ou mal com lacunas: é que 41-47% do histórico nunca chega a ser visto pelo RF.</w:t>
            </w:r>
          </w:p>
        </w:tc>
      </w:tr>
    </w:tbl>
    <w:p/>
    <w:p>
      <w:pPr>
        <w:pStyle w:val="Heading1"/>
        <w:spacing w:before="440" w:after="200"/>
      </w:pPr>
      <w:r>
        <w:rPr>
          <w:b/>
          <w:color w:val="0F2E44"/>
          <w:sz w:val="36"/>
        </w:rPr>
        <w:t>3. Métricas de Regressão (Reais, Medidas ao Vivo)</w:t>
      </w:r>
    </w:p>
    <w:p>
      <w:pPr>
        <w:spacing w:after="160"/>
        <w:jc w:val="both"/>
      </w:pPr>
      <w:r>
        <w:rPr>
          <w:i w:val="0"/>
          <w:sz w:val="22"/>
        </w:rPr>
        <w:t>Duas fontes distintas — importante não confundir. O SPLIT ÚNICO DE PRODUÇÃO treina em anos anteriores a 2015 e testa em 2015-2025 (11 anos de teste); é o modelo realmente salvo em data/models/*.joblib. O WALK-FORWARD é diagnóstico, com janela expansiva ano a ano — só 1 ano de teste por fold, por isso R² fica indefinido em cada fold individual (variância de 1 ponto = 0, divisão por zero na fórmula do R²) — é por isso que resumo_walk_forward.csv tem a coluna r2_medio vazia para todos os trechos. Não é um bug do pipeline, é uma limitação estatística inerente a folds com n=1.</w:t>
      </w:r>
    </w:p>
    <w:p>
      <w:pPr>
        <w:pStyle w:val="Heading2"/>
        <w:spacing w:before="280" w:after="120"/>
      </w:pPr>
      <w:r>
        <w:rPr>
          <w:b/>
          <w:color w:val="1F5FA8"/>
          <w:sz w:val="27"/>
        </w:rPr>
        <w:t>3.1 — Split único de produção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1361"/>
        <w:gridCol w:w="1020"/>
        <w:gridCol w:w="1020"/>
        <w:gridCol w:w="1020"/>
        <w:gridCol w:w="2211"/>
      </w:tblGrid>
      <w:tr>
        <w:tc>
          <w:tcPr>
            <w:tcW w:type="dxa" w:w="1624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Trecho</w:t>
            </w:r>
          </w:p>
        </w:tc>
        <w:tc>
          <w:tcPr>
            <w:tcW w:type="dxa" w:w="1624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Alvo</w:t>
            </w:r>
          </w:p>
        </w:tc>
        <w:tc>
          <w:tcPr>
            <w:tcW w:type="dxa" w:w="1624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1624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type="dxa" w:w="1624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R²</w:t>
            </w:r>
          </w:p>
        </w:tc>
        <w:tc>
          <w:tcPr>
            <w:tcW w:type="dxa" w:w="1624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Supera baseline de persistência?</w:t>
            </w:r>
          </w:p>
        </w:tc>
      </w:tr>
      <w:tr>
        <w:tc>
          <w:tcPr>
            <w:tcW w:type="dxa" w:w="1474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Alto Tietê</w:t>
            </w:r>
          </w:p>
        </w:tc>
        <w:tc>
          <w:tcPr>
            <w:tcW w:type="dxa" w:w="1361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IQA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7,01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8,82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-0,024</w:t>
            </w:r>
          </w:p>
        </w:tc>
        <w:tc>
          <w:tcPr>
            <w:tcW w:type="dxa" w:w="2211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Não (-18,3%)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Alto Tietê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OD (mg/L)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0,41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0,48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-4,63</w:t>
            </w:r>
          </w:p>
        </w:tc>
        <w:tc>
          <w:tcPr>
            <w:tcW w:type="dxa" w:w="221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Não (-69,6%)</w:t>
            </w:r>
          </w:p>
        </w:tc>
      </w:tr>
      <w:tr>
        <w:tc>
          <w:tcPr>
            <w:tcW w:type="dxa" w:w="1474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Médio Tietê</w:t>
            </w:r>
          </w:p>
        </w:tc>
        <w:tc>
          <w:tcPr>
            <w:tcW w:type="dxa" w:w="1361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IQA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9,38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11,85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-1,29</w:t>
            </w:r>
          </w:p>
        </w:tc>
        <w:tc>
          <w:tcPr>
            <w:tcW w:type="dxa" w:w="2211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Sim (+8,7%)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Médio Tietê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OD (mg/L)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0,43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0,48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+0,042</w:t>
            </w:r>
          </w:p>
        </w:tc>
        <w:tc>
          <w:tcPr>
            <w:tcW w:type="dxa" w:w="221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Sim (+15,1%)</w:t>
            </w:r>
          </w:p>
        </w:tc>
      </w:tr>
      <w:tr>
        <w:tc>
          <w:tcPr>
            <w:tcW w:type="dxa" w:w="1474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Baixo Tietê</w:t>
            </w:r>
          </w:p>
        </w:tc>
        <w:tc>
          <w:tcPr>
            <w:tcW w:type="dxa" w:w="1361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IQA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4,44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5,25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-0,29</w:t>
            </w:r>
          </w:p>
        </w:tc>
        <w:tc>
          <w:tcPr>
            <w:tcW w:type="dxa" w:w="2211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Sim (+21,2%)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Baixo Tietê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OD (mg/L)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0,47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-0,23</w:t>
            </w:r>
          </w:p>
        </w:tc>
        <w:tc>
          <w:tcPr>
            <w:tcW w:type="dxa" w:w="221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Sim (+38,2%)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6E0"/>
          </w:tcPr>
          <w:p>
            <w:pPr>
              <w:spacing w:after="80"/>
            </w:pPr>
            <w:r>
              <w:rPr>
                <w:b/>
                <w:color w:val="C9A227"/>
                <w:sz w:val="22"/>
              </w:rPr>
              <w:t>Leitura honesta:</w:t>
            </w:r>
          </w:p>
          <w:p>
            <w:pPr>
              <w:jc w:val="both"/>
            </w:pPr>
            <w:r>
              <w:rPr>
                <w:sz w:val="21"/>
              </w:rPr>
              <w:t>R² é negativo em 5 das 6 combinações — pior do que simplesmente prever a média do conjunto de teste. Isso soa pior do que é: com só 11 anos de teste numa série com tendência secular real (queda estatisticamente significativa confirmada por Mann-Kendall), a "média" não é um baseline informativo — R² é uma métrica instável com poucochíssimos pontos. O comparativo que importa mais é MAE contra o baseline de persistência (última coluna): Médio e Baixo Tietê batem o "chutar o ano passado" com folga; ALTO TIETÊ NÃO BATE EM NENHUM DOS DOIS ALVOS — é o trecho genuinamente problemático, consistente com o walk-forward (só 36,4% dos anos supera o baseline).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1F5FA8"/>
          <w:sz w:val="27"/>
        </w:rPr>
        <w:t>3.2 — Walk-forward (diagnóstico, resumo real por trecho)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1020"/>
        <w:gridCol w:w="1247"/>
        <w:gridCol w:w="2665"/>
        <w:gridCol w:w="1644"/>
      </w:tblGrid>
      <w:tr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Trecho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Alvo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MAE médio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MAE desvio (instabilidade entre anos)</w:t>
            </w:r>
          </w:p>
        </w:tc>
        <w:tc>
          <w:tcPr>
            <w:tcW w:type="dxa" w:w="1949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folds que supera baseline</w:t>
            </w:r>
          </w:p>
        </w:tc>
      </w:tr>
      <w:tr>
        <w:tc>
          <w:tcPr>
            <w:tcW w:type="dxa" w:w="1474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Alto Tietê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IQA</w:t>
            </w:r>
          </w:p>
        </w:tc>
        <w:tc>
          <w:tcPr>
            <w:tcW w:type="dxa" w:w="124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6,41</w:t>
            </w:r>
          </w:p>
        </w:tc>
        <w:tc>
          <w:tcPr>
            <w:tcW w:type="dxa" w:w="2665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5,86 (alto)</w:t>
            </w:r>
          </w:p>
        </w:tc>
        <w:tc>
          <w:tcPr>
            <w:tcW w:type="dxa" w:w="164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36,4%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Alto Tietê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OD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0,29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0,17</w:t>
            </w:r>
          </w:p>
        </w:tc>
        <w:tc>
          <w:tcPr>
            <w:tcW w:type="dxa" w:w="16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36,4%</w:t>
            </w:r>
          </w:p>
        </w:tc>
      </w:tr>
      <w:tr>
        <w:tc>
          <w:tcPr>
            <w:tcW w:type="dxa" w:w="1474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Médio Tietê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IQA</w:t>
            </w:r>
          </w:p>
        </w:tc>
        <w:tc>
          <w:tcPr>
            <w:tcW w:type="dxa" w:w="124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7,09</w:t>
            </w:r>
          </w:p>
        </w:tc>
        <w:tc>
          <w:tcPr>
            <w:tcW w:type="dxa" w:w="2665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6,16 (alto)</w:t>
            </w:r>
          </w:p>
        </w:tc>
        <w:tc>
          <w:tcPr>
            <w:tcW w:type="dxa" w:w="164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81,8%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Médio Tietê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OD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0,48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0,33</w:t>
            </w:r>
          </w:p>
        </w:tc>
        <w:tc>
          <w:tcPr>
            <w:tcW w:type="dxa" w:w="16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45,5%</w:t>
            </w:r>
          </w:p>
        </w:tc>
      </w:tr>
      <w:tr>
        <w:tc>
          <w:tcPr>
            <w:tcW w:type="dxa" w:w="1474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Baixo Tietê</w:t>
            </w:r>
          </w:p>
        </w:tc>
        <w:tc>
          <w:tcPr>
            <w:tcW w:type="dxa" w:w="1020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IQA</w:t>
            </w:r>
          </w:p>
        </w:tc>
        <w:tc>
          <w:tcPr>
            <w:tcW w:type="dxa" w:w="1247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4,84</w:t>
            </w:r>
          </w:p>
        </w:tc>
        <w:tc>
          <w:tcPr>
            <w:tcW w:type="dxa" w:w="2665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3,22</w:t>
            </w:r>
          </w:p>
        </w:tc>
        <w:tc>
          <w:tcPr>
            <w:tcW w:type="dxa" w:w="164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63,6%</w:t>
            </w:r>
          </w:p>
        </w:tc>
      </w:tr>
      <w:tr>
        <w:tc>
          <w:tcPr>
            <w:tcW w:type="dxa" w:w="147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Baixo Tietê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OD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0,37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0,37</w:t>
            </w:r>
          </w:p>
        </w:tc>
        <w:tc>
          <w:tcPr>
            <w:tcW w:type="dxa" w:w="16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63,6%</w:t>
            </w:r>
          </w:p>
        </w:tc>
      </w:tr>
    </w:tbl>
    <w:p>
      <w:pPr>
        <w:spacing w:after="40"/>
      </w:pPr>
    </w:p>
    <w:p>
      <w:pPr>
        <w:pStyle w:val="Heading1"/>
        <w:spacing w:before="440" w:after="200"/>
      </w:pPr>
      <w:r>
        <w:rPr>
          <w:b/>
          <w:color w:val="0F2E44"/>
          <w:sz w:val="36"/>
        </w:rPr>
        <w:t>4. Métricas de Classificação — Não Aplicável (com Ressalva)</w:t>
      </w:r>
    </w:p>
    <w:p>
      <w:pPr>
        <w:spacing w:after="160"/>
        <w:jc w:val="both"/>
      </w:pPr>
      <w:r>
        <w:rPr>
          <w:i w:val="0"/>
          <w:sz w:val="22"/>
        </w:rPr>
        <w:t>Acurácia, Precisão, Recall, F1-Score e AUC-ROC pressupõem rótulo categórico. O Random Forest do projeto prevê valores contínuos (IQA 0-100, OD mg/L) — não há classificação implementada.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4F3E8"/>
          </w:tcPr>
          <w:p>
            <w:pPr>
              <w:spacing w:after="80"/>
            </w:pPr>
            <w:r>
              <w:rPr>
                <w:b/>
                <w:color w:val="2F9E4F"/>
                <w:sz w:val="22"/>
              </w:rPr>
              <w:t>Onde faria sentido no futuro:</w:t>
            </w:r>
          </w:p>
          <w:p>
            <w:pPr>
              <w:jc w:val="both"/>
            </w:pPr>
            <w:r>
              <w:rPr>
                <w:sz w:val="21"/>
              </w:rPr>
              <w:t>A própria CETESB classifica o IQA em 5 faixas (Ótima/Boa/Aceitável/Ruim/Péssima) — um RandomForestClassifier prevendo a faixa, em vez do valor contínuo, permitiria essas métricas (e AUC-ROC multiclasse via one-vs-rest). Não existe hoje no projeto; seria uma extensão razoável, mas mudaria a pergunta de "qual o IQA exato" para "em que faixa ele cai" — informação mais grosseira, então uma troca deliberada de precisão por interpretabilidade categórica, não uma melhoria automática.</w:t>
            </w:r>
          </w:p>
        </w:tc>
      </w:tr>
    </w:tbl>
    <w:p/>
    <w:p>
      <w:pPr>
        <w:pStyle w:val="Heading1"/>
        <w:spacing w:before="440" w:after="200"/>
      </w:pPr>
      <w:r>
        <w:rPr>
          <w:b/>
          <w:color w:val="0F2E44"/>
          <w:sz w:val="36"/>
        </w:rPr>
        <w:t>5. Custo Operacional (Medido ao Vivo, Nesta Máquina)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850"/>
        <w:gridCol w:w="1077"/>
        <w:gridCol w:w="1134"/>
        <w:gridCol w:w="964"/>
        <w:gridCol w:w="1191"/>
        <w:gridCol w:w="1417"/>
      </w:tblGrid>
      <w:tr>
        <w:tc>
          <w:tcPr>
            <w:tcW w:type="dxa" w:w="1392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Trecho</w:t>
            </w:r>
          </w:p>
        </w:tc>
        <w:tc>
          <w:tcPr>
            <w:tcW w:type="dxa" w:w="1392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Alvo</w:t>
            </w:r>
          </w:p>
        </w:tc>
        <w:tc>
          <w:tcPr>
            <w:tcW w:type="dxa" w:w="1392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n_estimators</w:t>
            </w:r>
          </w:p>
        </w:tc>
        <w:tc>
          <w:tcPr>
            <w:tcW w:type="dxa" w:w="1392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max_depth real</w:t>
            </w:r>
          </w:p>
        </w:tc>
        <w:tc>
          <w:tcPr>
            <w:tcW w:type="dxa" w:w="1392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Preditoras</w:t>
            </w:r>
          </w:p>
        </w:tc>
        <w:tc>
          <w:tcPr>
            <w:tcW w:type="dxa" w:w="1392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Tamanho .joblib</w:t>
            </w:r>
          </w:p>
        </w:tc>
        <w:tc>
          <w:tcPr>
            <w:tcW w:type="dxa" w:w="1392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Latência (1 predição)</w:t>
            </w:r>
          </w:p>
        </w:tc>
      </w:tr>
      <w:tr>
        <w:tc>
          <w:tcPr>
            <w:tcW w:type="dxa" w:w="1304"/>
            <w:shd w:val="clear" w:color="auto" w:fill="F7FAFD"/>
          </w:tcPr>
          <w:p>
            <w:pPr>
              <w:jc w:val="left"/>
            </w:pPr>
            <w:r>
              <w:rPr>
                <w:sz w:val="17"/>
              </w:rPr>
              <w:t>Alto Tietê</w:t>
            </w:r>
          </w:p>
        </w:tc>
        <w:tc>
          <w:tcPr>
            <w:tcW w:type="dxa" w:w="850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IQA</w:t>
            </w:r>
          </w:p>
        </w:tc>
        <w:tc>
          <w:tcPr>
            <w:tcW w:type="dxa" w:w="1077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1134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4,7 (méd.)</w:t>
            </w:r>
          </w:p>
        </w:tc>
        <w:tc>
          <w:tcPr>
            <w:tcW w:type="dxa" w:w="964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19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302 KB</w:t>
            </w:r>
          </w:p>
        </w:tc>
        <w:tc>
          <w:tcPr>
            <w:tcW w:type="dxa" w:w="1417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6,9 ms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Alto Tietê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OD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3,0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19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233 KB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7,0 ms</w:t>
            </w:r>
          </w:p>
        </w:tc>
      </w:tr>
      <w:tr>
        <w:tc>
          <w:tcPr>
            <w:tcW w:type="dxa" w:w="1304"/>
            <w:shd w:val="clear" w:color="auto" w:fill="F7FAFD"/>
          </w:tcPr>
          <w:p>
            <w:pPr>
              <w:jc w:val="left"/>
            </w:pPr>
            <w:r>
              <w:rPr>
                <w:sz w:val="17"/>
              </w:rPr>
              <w:t>Médio Tietê</w:t>
            </w:r>
          </w:p>
        </w:tc>
        <w:tc>
          <w:tcPr>
            <w:tcW w:type="dxa" w:w="850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IQA</w:t>
            </w:r>
          </w:p>
        </w:tc>
        <w:tc>
          <w:tcPr>
            <w:tcW w:type="dxa" w:w="1077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1134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3,0</w:t>
            </w:r>
          </w:p>
        </w:tc>
        <w:tc>
          <w:tcPr>
            <w:tcW w:type="dxa" w:w="964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19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262 KB</w:t>
            </w:r>
          </w:p>
        </w:tc>
        <w:tc>
          <w:tcPr>
            <w:tcW w:type="dxa" w:w="1417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6,9 ms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Médio Tietê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OD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3,0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19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131 KB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3,7 ms</w:t>
            </w:r>
          </w:p>
        </w:tc>
      </w:tr>
      <w:tr>
        <w:tc>
          <w:tcPr>
            <w:tcW w:type="dxa" w:w="1304"/>
            <w:shd w:val="clear" w:color="auto" w:fill="F7FAFD"/>
          </w:tcPr>
          <w:p>
            <w:pPr>
              <w:jc w:val="left"/>
            </w:pPr>
            <w:r>
              <w:rPr>
                <w:sz w:val="17"/>
              </w:rPr>
              <w:t>Baixo Tietê</w:t>
            </w:r>
          </w:p>
        </w:tc>
        <w:tc>
          <w:tcPr>
            <w:tcW w:type="dxa" w:w="850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IQA</w:t>
            </w:r>
          </w:p>
        </w:tc>
        <w:tc>
          <w:tcPr>
            <w:tcW w:type="dxa" w:w="1077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1134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4,0</w:t>
            </w:r>
          </w:p>
        </w:tc>
        <w:tc>
          <w:tcPr>
            <w:tcW w:type="dxa" w:w="964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191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303 KB</w:t>
            </w:r>
          </w:p>
        </w:tc>
        <w:tc>
          <w:tcPr>
            <w:tcW w:type="dxa" w:w="1417"/>
            <w:shd w:val="clear" w:color="auto" w:fill="F7FAFD"/>
          </w:tcPr>
          <w:p>
            <w:pPr>
              <w:jc w:val="center"/>
            </w:pPr>
            <w:r>
              <w:rPr>
                <w:sz w:val="17"/>
              </w:rPr>
              <w:t>6,9 ms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Baixo Tietê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OD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4,7 (méd.)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19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505 KB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10,3 ms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</w:rPr>
        <w:t xml:space="preserve">Volume de Dados e Memória: </w:t>
      </w:r>
      <w:r>
        <w:rPr>
          <w:sz w:val="22"/>
        </w:rPr>
        <w:t>Trivial para os padrões de ML — os 6 modelos somam ~1,7 MB em disco; cada árvore tem só 6-10 folhas em média (profundidade real 3-6, bem rasa, escolhida pelo GridSearchCV justamente por causa do dataset pequeno). Não há preocupação de memória em nenhum cenário de deploy razoável.</w:t>
      </w:r>
    </w:p>
    <w:p>
      <w:pPr>
        <w:pStyle w:val="ListBullet"/>
        <w:spacing w:after="80"/>
      </w:pPr>
      <w:r>
        <w:rPr>
          <w:b/>
        </w:rPr>
        <w:t xml:space="preserve">Latência de Inferência: </w:t>
      </w:r>
      <w:r>
        <w:rPr>
          <w:sz w:val="22"/>
        </w:rPr>
        <w:t>3,7-10,3 ms por predição single-row — imperceptível para uso interativo (dashboard Streamlit). A previsão recursiva (predict_iqa.py, múltiplos anos) permanece na casa dos milissegundos mesmo encadeada.</w:t>
      </w:r>
    </w:p>
    <w:p>
      <w:pPr>
        <w:pStyle w:val="ListBullet"/>
        <w:spacing w:after="80"/>
      </w:pPr>
      <w:r>
        <w:rPr>
          <w:b/>
        </w:rPr>
        <w:t xml:space="preserve">Complexidade de Ajuste (Hyperparameter Tuning): </w:t>
      </w:r>
      <w:r>
        <w:rPr>
          <w:sz w:val="22"/>
        </w:rPr>
        <w:t>Grade modesta de propósito (108 combinações) — documentado no próprio código: "com ~65 linhas de treino por trecho, uma grade grande só encontraria combinações que se ajustam ao ruído da validação cruzada, não um padrão real." Tempo real ≈ 15-20s por combinação trecho×alvo, ~2 minutos para as 6 juntas — computacionalmente desprezível; o tamanho pequeno do dado é o verdadeiro fator limitante, não o custo de busca.</w:t>
      </w:r>
    </w:p>
    <w:p>
      <w:pPr>
        <w:pStyle w:val="Heading1"/>
        <w:spacing w:before="440" w:after="200"/>
      </w:pPr>
      <w:r>
        <w:rPr>
          <w:b/>
          <w:color w:val="0F2E44"/>
          <w:sz w:val="36"/>
        </w:rPr>
        <w:t>6. Interpretabilidade Real — Top Drivers por Trecho</w:t>
      </w:r>
    </w:p>
    <w:p>
      <w:pPr>
        <w:spacing w:after="160"/>
        <w:jc w:val="both"/>
      </w:pPr>
      <w:r>
        <w:rPr>
          <w:i w:val="0"/>
          <w:sz w:val="22"/>
        </w:rPr>
        <w:t>feature_importances_ (baseada em impureza) extraída diretamente dos modelos de IQA salvos em produção: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2154"/>
        <w:gridCol w:w="2154"/>
        <w:gridCol w:w="2154"/>
      </w:tblGrid>
      <w:tr>
        <w:tc>
          <w:tcPr>
            <w:tcW w:type="dxa" w:w="2436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Trecho</w:t>
            </w:r>
          </w:p>
        </w:tc>
        <w:tc>
          <w:tcPr>
            <w:tcW w:type="dxa" w:w="2436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1ª preditora</w:t>
            </w:r>
          </w:p>
        </w:tc>
        <w:tc>
          <w:tcPr>
            <w:tcW w:type="dxa" w:w="2436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2ª preditora</w:t>
            </w:r>
          </w:p>
        </w:tc>
        <w:tc>
          <w:tcPr>
            <w:tcW w:type="dxa" w:w="2436"/>
            <w:shd w:val="clear" w:color="auto" w:fill="1F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3ª preditora</w:t>
            </w:r>
          </w:p>
        </w:tc>
      </w:tr>
      <w:tr>
        <w:tc>
          <w:tcPr>
            <w:tcW w:type="dxa" w:w="1587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Alto Tietê</w:t>
            </w:r>
          </w:p>
        </w:tc>
        <w:tc>
          <w:tcPr>
            <w:tcW w:type="dxa" w:w="215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pct_agropecuaria (0,26)</w:t>
            </w:r>
          </w:p>
        </w:tc>
        <w:tc>
          <w:tcPr>
            <w:tcW w:type="dxa" w:w="215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ano (0,17)</w:t>
            </w:r>
          </w:p>
        </w:tc>
        <w:tc>
          <w:tcPr>
            <w:tcW w:type="dxa" w:w="215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pct_urbano_industrial (0,16)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Médio Tietê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iqa_media_movel_5a (0,17)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od_mg_l_media_movel_5a (0,16)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pct_agropecuaria (0,15)</w:t>
            </w:r>
          </w:p>
        </w:tc>
      </w:tr>
      <w:tr>
        <w:tc>
          <w:tcPr>
            <w:tcW w:type="dxa" w:w="1587"/>
            <w:shd w:val="clear" w:color="auto" w:fill="F7FAFD"/>
          </w:tcPr>
          <w:p>
            <w:pPr>
              <w:jc w:val="left"/>
            </w:pPr>
            <w:r>
              <w:rPr>
                <w:sz w:val="18"/>
              </w:rPr>
              <w:t>Baixo Tietê</w:t>
            </w:r>
          </w:p>
        </w:tc>
        <w:tc>
          <w:tcPr>
            <w:tcW w:type="dxa" w:w="215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pct_agua (0,21)</w:t>
            </w:r>
          </w:p>
        </w:tc>
        <w:tc>
          <w:tcPr>
            <w:tcW w:type="dxa" w:w="215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iqa_lag2a (0,12)</w:t>
            </w:r>
          </w:p>
        </w:tc>
        <w:tc>
          <w:tcPr>
            <w:tcW w:type="dxa" w:w="2154"/>
            <w:shd w:val="clear" w:color="auto" w:fill="F7FAFD"/>
          </w:tcPr>
          <w:p>
            <w:pPr>
              <w:jc w:val="center"/>
            </w:pPr>
            <w:r>
              <w:rPr>
                <w:sz w:val="18"/>
              </w:rPr>
              <w:t>pct_natural (0,12)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i w:val="0"/>
          <w:sz w:val="22"/>
        </w:rPr>
        <w:t>Consistente com o SHAP já documentado no projeto: uso do solo domina em Alto e Baixo Tietê (agropecuária puxando qualidade para baixo no Alto; % Água como proxy de estratificação de reservatório no Baixo); Médio Tietê é o único onde a autocorrelação temporal (médias móveis) supera o uso do solo como driver mais forte.</w:t>
      </w:r>
    </w:p>
    <w:p>
      <w:pPr>
        <w:pStyle w:val="Heading1"/>
        <w:spacing w:before="440" w:after="200"/>
      </w:pPr>
      <w:r>
        <w:rPr>
          <w:b/>
          <w:color w:val="0F2E44"/>
          <w:sz w:val="36"/>
        </w:rPr>
        <w:t>7. Síntese</w:t>
      </w:r>
    </w:p>
    <w:p>
      <w:pPr>
        <w:spacing w:after="160"/>
        <w:jc w:val="both"/>
      </w:pPr>
      <w:r>
        <w:rPr>
          <w:i w:val="0"/>
          <w:sz w:val="22"/>
        </w:rPr>
        <w:t>O Random Forest é uma escolha tecnicamente sensata para este problema — não-linear, sem necessidade de normalização, interpretável via SHAP, custo computacional irrelevante — mas o fator dominante em todas as métricas não é o algoritmo, é o TAMANHO DA AMOSTRA (32-51 linhas por trecho após dropna()). Isso explica: profundidade rasa forçada pelo GridSearchCV, R² instável/negativo no split único, e o gap CV→holdout que sinaliza overfitting residual mesmo com tuning.</w:t>
      </w:r>
    </w:p>
    <w:p>
      <w:pPr>
        <w:spacing w:after="160"/>
        <w:jc w:val="both"/>
      </w:pPr>
      <w:r>
        <w:rPr>
          <w:i w:val="0"/>
          <w:sz w:val="22"/>
        </w:rPr>
        <w:t>Alto Tietê é sistematicamente o trecho mais frágil em toda métrica — já é uma limitação documentada no projeto (item 1.3 do Diagnóstico e Roadmap de Pesquisa), e os números deste documento reforçam quantitativamente esse achado qualitativo.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