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3E6F" w:rsidRDefault="00D33E6F"/>
    <w:p w:rsidR="00D33E6F" w:rsidRDefault="00D33E6F"/>
    <w:p w:rsidR="00D33E6F" w:rsidRDefault="00D33E6F"/>
    <w:p w:rsidR="00D33E6F" w:rsidRDefault="00D33E6F"/>
    <w:p w:rsidR="00D33E6F" w:rsidRDefault="009C0888">
      <w:pPr>
        <w:spacing w:after="80"/>
        <w:jc w:val="center"/>
      </w:pPr>
      <w:r>
        <w:rPr>
          <w:b/>
          <w:color w:val="2A78D6"/>
          <w:sz w:val="60"/>
        </w:rPr>
        <w:t>WaterWeave-Tietê</w:t>
      </w:r>
    </w:p>
    <w:p w:rsidR="00D33E6F" w:rsidRDefault="009C0888">
      <w:pPr>
        <w:spacing w:after="80"/>
        <w:jc w:val="center"/>
      </w:pPr>
      <w:r>
        <w:rPr>
          <w:b/>
          <w:sz w:val="32"/>
        </w:rPr>
        <w:t>Elementos de Poluição do Rio Tietê e Medidas de Controle</w:t>
      </w:r>
    </w:p>
    <w:p w:rsidR="00D33E6F" w:rsidRDefault="009C0888">
      <w:pPr>
        <w:spacing w:after="800"/>
        <w:jc w:val="center"/>
      </w:pPr>
      <w:r>
        <w:rPr>
          <w:i/>
          <w:color w:val="898781"/>
          <w:sz w:val="24"/>
        </w:rPr>
        <w:t>Análise integrada de dados observados (CETESB, 1978–2024) e da série histórica simulada (proxy, 1940–2025)</w:t>
      </w:r>
    </w:p>
    <w:p w:rsidR="00D33E6F" w:rsidRDefault="009C0888">
      <w:pPr>
        <w:spacing w:after="120"/>
        <w:jc w:val="center"/>
      </w:pPr>
      <w:r>
        <w:rPr>
          <w:sz w:val="24"/>
        </w:rPr>
        <w:t>Julho de 2026</w:t>
      </w:r>
    </w:p>
    <w:p w:rsidR="00D33E6F" w:rsidRDefault="009C0888">
      <w:r>
        <w:br w:type="page"/>
      </w:r>
    </w:p>
    <w:p w:rsidR="00D33E6F" w:rsidRDefault="009C0888">
      <w:pPr>
        <w:pStyle w:val="Heading1"/>
      </w:pPr>
      <w:r>
        <w:lastRenderedPageBreak/>
        <w:t>1. Resumo Executivo</w:t>
      </w:r>
    </w:p>
    <w:p w:rsidR="00D33E6F" w:rsidRDefault="009C0888" w:rsidP="009C0888">
      <w:pPr>
        <w:spacing w:after="120"/>
        <w:jc w:val="both"/>
      </w:pPr>
      <w:r>
        <w:t xml:space="preserve">Este relatório identifica os </w:t>
      </w:r>
      <w:r>
        <w:t>principais elementos poluidores do Rio Tietê ao longo de seus três trechos (Alto, Médio e Baixo) e propõe medidas de controle específicas para cada um, com base no cruzamento de duas fontes de dados do projeto WaterWeave-Tietê: a série histórica simulada d</w:t>
      </w:r>
      <w:r>
        <w:t>e qualidade da água e solo (1940–2025, proxy de tendências CETESB/DAEE/SOS Mata Atlântica) e a base bruta de monitoramento real da CETESB (arquivo base_de_dados_pontos.xlsx, 1978–2024), que nunca havia sido processada pelo pipeline do projeto. Foram extraí</w:t>
      </w:r>
      <w:r>
        <w:t>das e agregadas 137.452 medições reais referentes aos 32 pontos de monitoramento situados diretamente no eixo principal do Tietê.</w:t>
      </w:r>
    </w:p>
    <w:p w:rsidR="00D33E6F" w:rsidRDefault="009C0888" w:rsidP="009C0888">
      <w:pPr>
        <w:spacing w:after="120"/>
        <w:jc w:val="both"/>
      </w:pPr>
      <w:r>
        <w:t>A conclusão central é que os dois trechos mais urbanizados/industrializados (Alto Tietê) e agroindustriais (Médio Tietê) têm p</w:t>
      </w:r>
      <w:r>
        <w:t>erfis de degradação distintos: no Alto Tietê, o problema real e não resolvido é o esgoto doméstico não tratado (oxigênio dissolvido em queda contínua, nitrogênio amoniacal mais que dobrando desde os anos 1990, coliformes na casa de centenas de milhares a m</w:t>
      </w:r>
      <w:r>
        <w:t>ais de 1 milhão de NMP/100 mL); no Médio Tietê, o problema dominante é a poluição difusa agrícola (pesticidas em alta contínua desde 1970, eutrofização crescente na cascata de reservatórios). Um achado importante desta análise é que os metais pesados (merc</w:t>
      </w:r>
      <w:r>
        <w:t>úrio, chumbo, cádmio, crômio, níquel) apresentam queda real e consistente desde 1978 em todos os trechos — ao contrário do que sugere a série simulada usada hoje pelo dashboard do projeto, que superestima esse eixo específico.</w:t>
      </w:r>
    </w:p>
    <w:p w:rsidR="00D33E6F" w:rsidRDefault="009C0888">
      <w:pPr>
        <w:pStyle w:val="Heading1"/>
      </w:pPr>
      <w:r>
        <w:t>2. Fontes de Dados e Metodolo</w:t>
      </w:r>
      <w:r>
        <w:t>gia</w:t>
      </w:r>
    </w:p>
    <w:p w:rsidR="00D33E6F" w:rsidRDefault="009C0888" w:rsidP="009C0888">
      <w:pPr>
        <w:spacing w:after="120"/>
        <w:jc w:val="both"/>
      </w:pPr>
      <w:r>
        <w:t>Foram utilizadas as seguintes fontes, já mapeadas em waterweave.config.RAW_SOURCES:</w:t>
      </w:r>
    </w:p>
    <w:p w:rsidR="00D33E6F" w:rsidRDefault="009C0888" w:rsidP="009C0888">
      <w:pPr>
        <w:pStyle w:val="ListBullet"/>
        <w:spacing w:after="80"/>
        <w:jc w:val="both"/>
      </w:pPr>
      <w:r>
        <w:rPr>
          <w:b/>
        </w:rPr>
        <w:t>cod_latlong.xlsx</w:t>
      </w:r>
      <w:r>
        <w:t xml:space="preserve"> — cadastro estadual de 699 estações de monitoramento da CETESB; 32 estão sobre o eixo principal do Tietê (código iniciado por TIET/TIBT), cada uma com </w:t>
      </w:r>
      <w:r>
        <w:t>sua classe de enquadramento CONAMA (Classe 2 a 4).</w:t>
      </w:r>
    </w:p>
    <w:p w:rsidR="00D33E6F" w:rsidRDefault="009C0888" w:rsidP="009C0888">
      <w:pPr>
        <w:pStyle w:val="ListBullet"/>
        <w:spacing w:after="80"/>
        <w:jc w:val="both"/>
      </w:pPr>
      <w:r>
        <w:rPr>
          <w:b/>
        </w:rPr>
        <w:t>base_de_dados_pontos.xlsx</w:t>
      </w:r>
      <w:r>
        <w:t xml:space="preserve"> — base bruta real da CETESB em formato longo (SEQID, ponto, data, parâmetro, resultado), 1978–2024, ~2,4 milhões de linhas cobrindo todo o estado de SP. Nunca ingerida pelo pipeli</w:t>
      </w:r>
      <w:r>
        <w:t>ne (ver README, seção "Próximos passos"); filtrada aqui para os 32 pontos do eixo Tietê, resultando em 137.452 medições reais de ~50 parâmetros distintos.</w:t>
      </w:r>
    </w:p>
    <w:p w:rsidR="00D33E6F" w:rsidRDefault="009C0888" w:rsidP="009C0888">
      <w:pPr>
        <w:pStyle w:val="ListBullet"/>
        <w:spacing w:after="80"/>
        <w:jc w:val="both"/>
      </w:pPr>
      <w:r>
        <w:rPr>
          <w:b/>
        </w:rPr>
        <w:t>Planilha_Historica_Solo_Sedimentos_Rio_Tiete_1940_2025.xlsx</w:t>
      </w:r>
      <w:r>
        <w:t xml:space="preserve"> — série anual simulada (1940–2025) por tr</w:t>
      </w:r>
      <w:r>
        <w:t>echo: IQA, DBO, OD, "metais pesados" (índice agregado), pesticidas e matéria orgânica. Declarada pela própria fonte como proxy histórico baseado em tendências de relatórios (não telemetria direta).</w:t>
      </w:r>
    </w:p>
    <w:p w:rsidR="00D33E6F" w:rsidRDefault="009C0888">
      <w:pPr>
        <w:spacing w:after="120"/>
      </w:pPr>
      <w:r>
        <w:rPr>
          <w:i/>
          <w:color w:val="898781"/>
          <w:sz w:val="20"/>
        </w:rPr>
        <w:t>Nota de proveniência: sempre que um número deste relatório</w:t>
      </w:r>
      <w:r>
        <w:rPr>
          <w:i/>
          <w:color w:val="898781"/>
          <w:sz w:val="20"/>
        </w:rPr>
        <w:t xml:space="preserve"> vier da CETESB (base_de_dados_pontos), ele é identificado como "real/observado"; quando vier da planilha histórica, como "simulado/proxy". Os dados reais foram agregados em três períodos (1978–1999, 2000–2011, 2012–2024) por trecho e parâmetro, calculando</w:t>
      </w:r>
      <w:r>
        <w:rPr>
          <w:i/>
          <w:color w:val="898781"/>
          <w:sz w:val="20"/>
        </w:rPr>
        <w:t>-se a média das medições numéricas válidas.</w:t>
      </w:r>
    </w:p>
    <w:p w:rsidR="00D33E6F" w:rsidRDefault="009C0888">
      <w:pPr>
        <w:pStyle w:val="Heading2"/>
      </w:pPr>
      <w:r>
        <w:lastRenderedPageBreak/>
        <w:t>Evolução do IQA simulado (visão geral, 1940–2025)</w:t>
      </w:r>
    </w:p>
    <w:p w:rsidR="00D33E6F" w:rsidRDefault="009C0888">
      <w:pPr>
        <w:jc w:val="center"/>
      </w:pPr>
      <w:r>
        <w:rPr>
          <w:noProof/>
        </w:rPr>
        <w:drawing>
          <wp:inline distT="0" distB="0" distL="0" distR="0">
            <wp:extent cx="5760720" cy="29406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1_iqa_simulad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E6F" w:rsidRDefault="009C0888">
      <w:pPr>
        <w:spacing w:after="280"/>
        <w:jc w:val="center"/>
      </w:pPr>
      <w:r>
        <w:rPr>
          <w:i/>
          <w:color w:val="898781"/>
          <w:sz w:val="18"/>
        </w:rPr>
        <w:t>Fonte: Planilha_Historica_Solo_Sedimentos_Rio_Tiete (série simulada/proxy).</w:t>
      </w:r>
    </w:p>
    <w:p w:rsidR="00D33E6F" w:rsidRDefault="009C0888" w:rsidP="009C0888">
      <w:pPr>
        <w:spacing w:after="120"/>
        <w:jc w:val="both"/>
      </w:pPr>
      <w:r>
        <w:t>O proxy simulado mostra o Alto Tietê caindo de IQA ~80 (1940) para um piso de 15,3 (</w:t>
      </w:r>
      <w:r>
        <w:t>1992), com recuperação parcial para ~29-30 a partir dos anos 2000. O Médio Tietê cai de forma monotônica e sem recuperação (78,6 → 45). O Baixo Tietê permanece o trecho mais preservado, com queda lenta (90 → 78).</w:t>
      </w:r>
    </w:p>
    <w:p w:rsidR="00D33E6F" w:rsidRDefault="009C0888" w:rsidP="009C0888">
      <w:pPr>
        <w:pStyle w:val="Heading1"/>
        <w:jc w:val="both"/>
      </w:pPr>
      <w:r>
        <w:t>3. Alto Tietê — o trecho crítico</w:t>
      </w:r>
    </w:p>
    <w:p w:rsidR="00D33E6F" w:rsidRDefault="009C0888" w:rsidP="009C0888">
      <w:pPr>
        <w:spacing w:after="120"/>
        <w:jc w:val="both"/>
      </w:pPr>
      <w:r>
        <w:t>Da nascent</w:t>
      </w:r>
      <w:r>
        <w:t>e em Salesópolis até a saída da Região Metropolitana de São Paulo. É o trecho de pior qualidade em ambas as fontes de dados, com enquadramento CONAMA real e atual em Classe 4 (pior categoria) nos pontos dentro de São Paulo e Guarulhos, e Classe 3 em Suzano</w:t>
      </w:r>
      <w:r>
        <w:t>, Itaquaquecetuba e Mogi das Cruzes — só retornando a Classe 2 nas nascentes (Biritiba Mirim) e ao sair da região metropolitana (Pirapora do Bom Jesus).</w:t>
      </w:r>
    </w:p>
    <w:p w:rsidR="00D33E6F" w:rsidRDefault="009C0888">
      <w:pPr>
        <w:pStyle w:val="Heading2"/>
      </w:pPr>
      <w:r>
        <w:lastRenderedPageBreak/>
        <w:t>Elemento dominante: esgoto doméstico não tratado</w:t>
      </w:r>
    </w:p>
    <w:p w:rsidR="00D33E6F" w:rsidRDefault="009C0888">
      <w:pPr>
        <w:jc w:val="center"/>
      </w:pPr>
      <w:r>
        <w:rPr>
          <w:noProof/>
        </w:rPr>
        <w:drawing>
          <wp:inline distT="0" distB="0" distL="0" distR="0">
            <wp:extent cx="5760720" cy="2982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3_od_re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E6F" w:rsidRDefault="009C0888">
      <w:pPr>
        <w:spacing w:after="280"/>
        <w:jc w:val="center"/>
      </w:pPr>
      <w:r>
        <w:rPr>
          <w:i/>
          <w:color w:val="898781"/>
          <w:sz w:val="18"/>
        </w:rPr>
        <w:t>Oxigênio Dissolvido real, CETESB, médias por período</w:t>
      </w:r>
      <w:r>
        <w:rPr>
          <w:i/>
          <w:color w:val="898781"/>
          <w:sz w:val="18"/>
        </w:rPr>
        <w:t xml:space="preserve"> e por trecho.</w:t>
      </w:r>
    </w:p>
    <w:p w:rsidR="00D33E6F" w:rsidRDefault="009C0888" w:rsidP="009C0888">
      <w:pPr>
        <w:spacing w:after="120"/>
        <w:jc w:val="both"/>
      </w:pPr>
      <w:r>
        <w:t xml:space="preserve">O Oxigênio Dissolvido real no Alto Tietê caiu de forma contínua — 3,90 mg/L (1978–1999) para 1,74 mg/L (2012–2024) — sem a recuperação que a série simulada sugere. Isso indica que a carga de esgoto lançada continua crescendo mais rápido que </w:t>
      </w:r>
      <w:r>
        <w:t>a capacidade de tratamento instalada.</w:t>
      </w:r>
    </w:p>
    <w:p w:rsidR="00D33E6F" w:rsidRDefault="009C0888">
      <w:pPr>
        <w:jc w:val="center"/>
      </w:pPr>
      <w:r>
        <w:rPr>
          <w:noProof/>
        </w:rPr>
        <w:drawing>
          <wp:inline distT="0" distB="0" distL="0" distR="0">
            <wp:extent cx="5760720" cy="2982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5_namoniacal_re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E6F" w:rsidRDefault="009C0888">
      <w:pPr>
        <w:spacing w:after="280"/>
        <w:jc w:val="center"/>
      </w:pPr>
      <w:r>
        <w:rPr>
          <w:i/>
          <w:color w:val="898781"/>
          <w:sz w:val="18"/>
        </w:rPr>
        <w:t>Nitrogênio Amoniacal real, CETESB, médias por período e por trecho.</w:t>
      </w:r>
    </w:p>
    <w:p w:rsidR="00D33E6F" w:rsidRDefault="009C0888" w:rsidP="009C0888">
      <w:pPr>
        <w:spacing w:after="120"/>
        <w:jc w:val="both"/>
      </w:pPr>
      <w:r>
        <w:t xml:space="preserve">O Nitrogênio Amoniacal — subproduto direto de esgoto doméstico — mais que dobrou no Alto Tietê entre 1978–1999 (3,39 mg/L) e 2012–2024 (9,19 mg/L), </w:t>
      </w:r>
      <w:r>
        <w:t>com a mesma tendência de piora no Médio Tietê.</w:t>
      </w:r>
    </w:p>
    <w:p w:rsidR="00D33E6F" w:rsidRDefault="009C0888">
      <w:pPr>
        <w:jc w:val="center"/>
      </w:pPr>
      <w:r>
        <w:rPr>
          <w:noProof/>
        </w:rPr>
        <w:lastRenderedPageBreak/>
        <w:drawing>
          <wp:inline distT="0" distB="0" distL="0" distR="0">
            <wp:extent cx="5760720" cy="29820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4_dbo_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E6F" w:rsidRDefault="009C0888">
      <w:pPr>
        <w:spacing w:after="280"/>
        <w:jc w:val="center"/>
      </w:pPr>
      <w:r>
        <w:rPr>
          <w:i/>
          <w:color w:val="898781"/>
          <w:sz w:val="18"/>
        </w:rPr>
        <w:t>Demanda Bioquímica de Oxigênio real, CETESB, médias por período e por trecho.</w:t>
      </w:r>
    </w:p>
    <w:p w:rsidR="00D33E6F" w:rsidRDefault="009C0888">
      <w:pPr>
        <w:jc w:val="center"/>
      </w:pPr>
      <w:r>
        <w:rPr>
          <w:noProof/>
        </w:rPr>
        <w:drawing>
          <wp:inline distT="0" distB="0" distL="0" distR="0">
            <wp:extent cx="5760720" cy="29820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6_coliformes_re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E6F" w:rsidRDefault="009C0888">
      <w:pPr>
        <w:spacing w:after="280"/>
        <w:jc w:val="center"/>
      </w:pPr>
      <w:r>
        <w:rPr>
          <w:i/>
          <w:color w:val="898781"/>
          <w:sz w:val="18"/>
        </w:rPr>
        <w:t>Coliformes Termotolerantes real, CETESB (escala logarítmica). Após 2011, a CETESB passou a reportar E. coli em seu lugar (CONAM</w:t>
      </w:r>
      <w:r>
        <w:rPr>
          <w:i/>
          <w:color w:val="898781"/>
          <w:sz w:val="18"/>
        </w:rPr>
        <w:t>A 430/2011): a média de E. coli no Alto Tietê em 2012–2024 foi de 1.091.191 NMP/100 mL.</w:t>
      </w:r>
    </w:p>
    <w:p w:rsidR="00D33E6F" w:rsidRDefault="009C0888" w:rsidP="009C0888">
      <w:pPr>
        <w:spacing w:after="120"/>
        <w:jc w:val="both"/>
      </w:pPr>
      <w:r>
        <w:t>Os coliformes termotolerantes no Alto Tietê chegaram a 2,3 milhões de NMP/100 mL na média de 1978–1999 — ordens de grandeza acima de qualquer padrão de recreação de con</w:t>
      </w:r>
      <w:r>
        <w:t>tato, mesmo para Classe 4. O indicador que sucedeu essa métrica (E. coli, pós-2011) confirma que o problema persiste em magnitude semelhante.</w:t>
      </w:r>
    </w:p>
    <w:p w:rsidR="00D33E6F" w:rsidRDefault="009C0888">
      <w:pPr>
        <w:pStyle w:val="Heading2"/>
      </w:pPr>
      <w:r>
        <w:lastRenderedPageBreak/>
        <w:t>Uma correção importante: metais pesados estão melhorando, não piorando</w:t>
      </w:r>
    </w:p>
    <w:p w:rsidR="00D33E6F" w:rsidRDefault="009C0888">
      <w:pPr>
        <w:jc w:val="center"/>
      </w:pPr>
      <w:r>
        <w:rPr>
          <w:noProof/>
        </w:rPr>
        <w:drawing>
          <wp:inline distT="0" distB="0" distL="0" distR="0">
            <wp:extent cx="5760720" cy="28464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8_metais_vari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E6F" w:rsidRDefault="009C0888">
      <w:pPr>
        <w:spacing w:after="280"/>
        <w:jc w:val="center"/>
      </w:pPr>
      <w:r>
        <w:rPr>
          <w:i/>
          <w:color w:val="898781"/>
          <w:sz w:val="18"/>
        </w:rPr>
        <w:t xml:space="preserve">Variação real da concentração média de </w:t>
      </w:r>
      <w:r>
        <w:rPr>
          <w:i/>
          <w:color w:val="898781"/>
          <w:sz w:val="18"/>
        </w:rPr>
        <w:t>cada metal no Alto Tietê entre 1978–1999 e 2012–2024.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33E6F" w:rsidTr="00D33E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shd w:val="clear" w:color="auto" w:fill="2A78D6"/>
          </w:tcPr>
          <w:p w:rsidR="00D33E6F" w:rsidRDefault="009C0888">
            <w:r>
              <w:rPr>
                <w:color w:val="FFFFFF"/>
                <w:sz w:val="20"/>
              </w:rPr>
              <w:t>Metal</w:t>
            </w:r>
          </w:p>
        </w:tc>
        <w:tc>
          <w:tcPr>
            <w:tcW w:w="2351" w:type="dxa"/>
            <w:shd w:val="clear" w:color="auto" w:fill="2A78D6"/>
          </w:tcPr>
          <w:p w:rsidR="00D33E6F" w:rsidRDefault="009C08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1978–1999 (mg/L)</w:t>
            </w:r>
          </w:p>
        </w:tc>
        <w:tc>
          <w:tcPr>
            <w:tcW w:w="2351" w:type="dxa"/>
            <w:shd w:val="clear" w:color="auto" w:fill="2A78D6"/>
          </w:tcPr>
          <w:p w:rsidR="00D33E6F" w:rsidRDefault="009C08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2012–2024 (mg/L)</w:t>
            </w:r>
          </w:p>
        </w:tc>
        <w:tc>
          <w:tcPr>
            <w:tcW w:w="2351" w:type="dxa"/>
            <w:shd w:val="clear" w:color="auto" w:fill="2A78D6"/>
          </w:tcPr>
          <w:p w:rsidR="00D33E6F" w:rsidRDefault="009C08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Variação</w:t>
            </w:r>
          </w:p>
        </w:tc>
      </w:tr>
      <w:tr w:rsidR="00D33E6F" w:rsidTr="00D33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:rsidR="00D33E6F" w:rsidRDefault="009C0888">
            <w:r>
              <w:rPr>
                <w:sz w:val="20"/>
              </w:rPr>
              <w:t>Mercúrio</w:t>
            </w:r>
          </w:p>
        </w:tc>
        <w:tc>
          <w:tcPr>
            <w:tcW w:w="2351" w:type="dxa"/>
          </w:tcPr>
          <w:p w:rsidR="00D33E6F" w:rsidRDefault="009C0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0,0007</w:t>
            </w:r>
          </w:p>
        </w:tc>
        <w:tc>
          <w:tcPr>
            <w:tcW w:w="2351" w:type="dxa"/>
          </w:tcPr>
          <w:p w:rsidR="00D33E6F" w:rsidRDefault="009C0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0,0002</w:t>
            </w:r>
          </w:p>
        </w:tc>
        <w:tc>
          <w:tcPr>
            <w:tcW w:w="2351" w:type="dxa"/>
          </w:tcPr>
          <w:p w:rsidR="00D33E6F" w:rsidRDefault="009C0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-71%</w:t>
            </w:r>
          </w:p>
        </w:tc>
      </w:tr>
      <w:tr w:rsidR="00D33E6F" w:rsidTr="00D33E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:rsidR="00D33E6F" w:rsidRDefault="009C0888">
            <w:r>
              <w:rPr>
                <w:sz w:val="20"/>
              </w:rPr>
              <w:t>Cádmio</w:t>
            </w:r>
          </w:p>
        </w:tc>
        <w:tc>
          <w:tcPr>
            <w:tcW w:w="2351" w:type="dxa"/>
          </w:tcPr>
          <w:p w:rsidR="00D33E6F" w:rsidRDefault="009C08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0,0038</w:t>
            </w:r>
          </w:p>
        </w:tc>
        <w:tc>
          <w:tcPr>
            <w:tcW w:w="2351" w:type="dxa"/>
          </w:tcPr>
          <w:p w:rsidR="00D33E6F" w:rsidRDefault="009C08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0,0013</w:t>
            </w:r>
          </w:p>
        </w:tc>
        <w:tc>
          <w:tcPr>
            <w:tcW w:w="2351" w:type="dxa"/>
          </w:tcPr>
          <w:p w:rsidR="00D33E6F" w:rsidRDefault="009C08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-66%</w:t>
            </w:r>
          </w:p>
        </w:tc>
      </w:tr>
      <w:tr w:rsidR="00D33E6F" w:rsidTr="00D33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:rsidR="00D33E6F" w:rsidRDefault="009C0888">
            <w:r>
              <w:rPr>
                <w:sz w:val="20"/>
              </w:rPr>
              <w:t>Níquel</w:t>
            </w:r>
          </w:p>
        </w:tc>
        <w:tc>
          <w:tcPr>
            <w:tcW w:w="2351" w:type="dxa"/>
          </w:tcPr>
          <w:p w:rsidR="00D33E6F" w:rsidRDefault="009C0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0,0752</w:t>
            </w:r>
          </w:p>
        </w:tc>
        <w:tc>
          <w:tcPr>
            <w:tcW w:w="2351" w:type="dxa"/>
          </w:tcPr>
          <w:p w:rsidR="00D33E6F" w:rsidRDefault="009C0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0,0344</w:t>
            </w:r>
          </w:p>
        </w:tc>
        <w:tc>
          <w:tcPr>
            <w:tcW w:w="2351" w:type="dxa"/>
          </w:tcPr>
          <w:p w:rsidR="00D33E6F" w:rsidRDefault="009C0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-54%</w:t>
            </w:r>
          </w:p>
        </w:tc>
      </w:tr>
      <w:tr w:rsidR="00D33E6F" w:rsidTr="00D33E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:rsidR="00D33E6F" w:rsidRDefault="009C0888">
            <w:r>
              <w:rPr>
                <w:sz w:val="20"/>
              </w:rPr>
              <w:t>Crômio</w:t>
            </w:r>
          </w:p>
        </w:tc>
        <w:tc>
          <w:tcPr>
            <w:tcW w:w="2351" w:type="dxa"/>
          </w:tcPr>
          <w:p w:rsidR="00D33E6F" w:rsidRDefault="009C08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0,0463</w:t>
            </w:r>
          </w:p>
        </w:tc>
        <w:tc>
          <w:tcPr>
            <w:tcW w:w="2351" w:type="dxa"/>
          </w:tcPr>
          <w:p w:rsidR="00D33E6F" w:rsidRDefault="009C08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0,0277</w:t>
            </w:r>
          </w:p>
        </w:tc>
        <w:tc>
          <w:tcPr>
            <w:tcW w:w="2351" w:type="dxa"/>
          </w:tcPr>
          <w:p w:rsidR="00D33E6F" w:rsidRDefault="009C08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-40%</w:t>
            </w:r>
          </w:p>
        </w:tc>
      </w:tr>
      <w:tr w:rsidR="00D33E6F" w:rsidTr="00D33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:rsidR="00D33E6F" w:rsidRDefault="009C0888">
            <w:r>
              <w:rPr>
                <w:sz w:val="20"/>
              </w:rPr>
              <w:t>Manganês</w:t>
            </w:r>
          </w:p>
        </w:tc>
        <w:tc>
          <w:tcPr>
            <w:tcW w:w="2351" w:type="dxa"/>
          </w:tcPr>
          <w:p w:rsidR="00D33E6F" w:rsidRDefault="009C0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0,2895</w:t>
            </w:r>
          </w:p>
        </w:tc>
        <w:tc>
          <w:tcPr>
            <w:tcW w:w="2351" w:type="dxa"/>
          </w:tcPr>
          <w:p w:rsidR="00D33E6F" w:rsidRDefault="009C0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0,1676</w:t>
            </w:r>
          </w:p>
        </w:tc>
        <w:tc>
          <w:tcPr>
            <w:tcW w:w="2351" w:type="dxa"/>
          </w:tcPr>
          <w:p w:rsidR="00D33E6F" w:rsidRDefault="009C0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-42%</w:t>
            </w:r>
          </w:p>
        </w:tc>
      </w:tr>
      <w:tr w:rsidR="00D33E6F" w:rsidTr="00D33E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:rsidR="00D33E6F" w:rsidRDefault="009C0888">
            <w:r>
              <w:rPr>
                <w:sz w:val="20"/>
              </w:rPr>
              <w:t>Chumbo</w:t>
            </w:r>
          </w:p>
        </w:tc>
        <w:tc>
          <w:tcPr>
            <w:tcW w:w="2351" w:type="dxa"/>
          </w:tcPr>
          <w:p w:rsidR="00D33E6F" w:rsidRDefault="009C08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0,0704</w:t>
            </w:r>
          </w:p>
        </w:tc>
        <w:tc>
          <w:tcPr>
            <w:tcW w:w="2351" w:type="dxa"/>
          </w:tcPr>
          <w:p w:rsidR="00D33E6F" w:rsidRDefault="009C08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0,0101</w:t>
            </w:r>
          </w:p>
        </w:tc>
        <w:tc>
          <w:tcPr>
            <w:tcW w:w="2351" w:type="dxa"/>
          </w:tcPr>
          <w:p w:rsidR="00D33E6F" w:rsidRDefault="009C08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-86%</w:t>
            </w:r>
          </w:p>
        </w:tc>
      </w:tr>
    </w:tbl>
    <w:p w:rsidR="00D33E6F" w:rsidRDefault="00D33E6F"/>
    <w:p w:rsidR="00D33E6F" w:rsidRDefault="009C0888" w:rsidP="009C0888">
      <w:pPr>
        <w:spacing w:after="120"/>
        <w:jc w:val="both"/>
      </w:pPr>
      <w:r>
        <w:t>A série simulada usada hoje no dashboard do projeto representa "metais pesados" como um índice agregado que dispara entre 1970 e 1990 e permanece elevado. Os dados reais da CETESB mostram o oposto para todos os seis metais analisados individ</w:t>
      </w:r>
      <w:r>
        <w:t>ualmente: queda consistente e substancial desde 1978, resultado plausível do controle mais efetivo de efluente industrial pontual ao longo das décadas (regulação CONAMA, fiscalização, relocalização industrial). Isso não invalida a série simulada como proxy</w:t>
      </w:r>
      <w:r>
        <w:t xml:space="preserve"> de tendência geral de urbanização, mas indica que o eixo específico de "metais pesados" nela está desalinhado com a evidência observada — e não deveria ser o argumento central de alertas do relatório automatizado do projeto (reports/narrative_generator.py</w:t>
      </w:r>
      <w:r>
        <w:t>) sobre o Alto Tietê hoje.</w:t>
      </w:r>
    </w:p>
    <w:p w:rsidR="00D33E6F" w:rsidRDefault="009C0888" w:rsidP="009C0888">
      <w:pPr>
        <w:spacing w:after="120"/>
        <w:jc w:val="both"/>
      </w:pPr>
      <w:r>
        <w:t>O Fósforo Total no Alto Tietê também caiu (3,04 → 1,08 mg/L), provavelmente reflexo da restrição a fosfatos em detergentes (legislação estadual de SP, anos 2000).</w:t>
      </w:r>
    </w:p>
    <w:p w:rsidR="00D33E6F" w:rsidRDefault="009C0888">
      <w:pPr>
        <w:pStyle w:val="Heading1"/>
      </w:pPr>
      <w:r>
        <w:t>4. Médio Tietê — poluição difusa agrícola em trajetória sem recupe</w:t>
      </w:r>
      <w:r>
        <w:t>ração</w:t>
      </w:r>
    </w:p>
    <w:p w:rsidR="00D33E6F" w:rsidRDefault="009C0888" w:rsidP="009C0888">
      <w:pPr>
        <w:spacing w:after="120"/>
        <w:jc w:val="both"/>
      </w:pPr>
      <w:r>
        <w:t>Cobre os trechos de Itu, Salto, Barra Bonita, Bariri e Ibitinga. Ao contrário do Alto Tietê, não apresenta nenhum sinal de recuperação em nenhuma das duas fontes de dados.</w:t>
      </w:r>
    </w:p>
    <w:p w:rsidR="00D33E6F" w:rsidRDefault="009C0888">
      <w:pPr>
        <w:jc w:val="center"/>
      </w:pPr>
      <w:r>
        <w:rPr>
          <w:noProof/>
        </w:rPr>
        <w:lastRenderedPageBreak/>
        <w:drawing>
          <wp:inline distT="0" distB="0" distL="0" distR="0">
            <wp:extent cx="5760720" cy="268833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2_pesticidas_simul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E6F" w:rsidRDefault="009C0888">
      <w:pPr>
        <w:spacing w:after="280"/>
        <w:jc w:val="center"/>
      </w:pPr>
      <w:r>
        <w:rPr>
          <w:i/>
          <w:color w:val="898781"/>
          <w:sz w:val="18"/>
        </w:rPr>
        <w:t>Pesticidas (série simulada/proxy), por trecho, 1940–2025.</w:t>
      </w:r>
    </w:p>
    <w:p w:rsidR="00D33E6F" w:rsidRDefault="009C0888" w:rsidP="009C0888">
      <w:pPr>
        <w:spacing w:after="120"/>
        <w:jc w:val="both"/>
      </w:pPr>
      <w:r>
        <w:t>Pesticidas é a var</w:t>
      </w:r>
      <w:r>
        <w:t>iável que mais cresce de toda a série simulada: 0,32 ppm (1940) para 7,83 ppm (2020s) no Médio Tietê — crescimento contínuo desde que o uso do solo predominante mudou de "Agrícola Tradicional" para "Agroindustrial (Cana/Citros)" em 1970 e nunca mais se alt</w:t>
      </w:r>
      <w:r>
        <w:t>erou.</w:t>
      </w:r>
    </w:p>
    <w:p w:rsidR="00D33E6F" w:rsidRDefault="009C0888">
      <w:pPr>
        <w:jc w:val="center"/>
      </w:pPr>
      <w:r>
        <w:rPr>
          <w:noProof/>
        </w:rPr>
        <w:drawing>
          <wp:inline distT="0" distB="0" distL="0" distR="0">
            <wp:extent cx="5760720" cy="284647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7_clorofila_re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E6F" w:rsidRDefault="009C0888">
      <w:pPr>
        <w:spacing w:after="280"/>
        <w:jc w:val="center"/>
      </w:pPr>
      <w:r>
        <w:rPr>
          <w:i/>
          <w:color w:val="898781"/>
          <w:sz w:val="18"/>
        </w:rPr>
        <w:t>Clorofila-a real, CETESB, médias por período e por trecho.</w:t>
      </w:r>
    </w:p>
    <w:p w:rsidR="00D33E6F" w:rsidRDefault="009C0888" w:rsidP="009C0888">
      <w:pPr>
        <w:spacing w:after="120"/>
        <w:jc w:val="both"/>
      </w:pPr>
      <w:r>
        <w:t>A Clorofila-a real quase dobrou no Médio Tietê entre 1978–1999 (14,5 µg/L) e 2012–2024 (26,8 µg/L) — evidência direta e crescente de eutrofização, favorecida pela cascata de reservatórios d</w:t>
      </w:r>
      <w:r>
        <w:t>o trecho (Barra Bonita, Bariri, Ibitinga, Promissão), que reduz a velocidade da água e aumenta o tempo de residência.</w:t>
      </w:r>
    </w:p>
    <w:p w:rsidR="00D33E6F" w:rsidRDefault="009C0888" w:rsidP="009C0888">
      <w:pPr>
        <w:spacing w:after="120"/>
        <w:jc w:val="both"/>
      </w:pPr>
      <w:r>
        <w:t>O elemento dominante aqui não é esgoto bruto — a DBO real (11,9 mg/L em 2012–2024) é cerca de 1/3 da observada no Alto Tietê — e sim polui</w:t>
      </w:r>
      <w:r>
        <w:t>ção difusa: agrotóxicos, fertilizantes (nitrato e fósforo) e sedimento de erosão de áreas de cana exposta.</w:t>
      </w:r>
    </w:p>
    <w:p w:rsidR="00D33E6F" w:rsidRDefault="009C0888">
      <w:pPr>
        <w:pStyle w:val="Heading1"/>
      </w:pPr>
      <w:r>
        <w:lastRenderedPageBreak/>
        <w:t>5. Baixo Tietê — o trecho mais preservado, em piora lenta</w:t>
      </w:r>
    </w:p>
    <w:p w:rsidR="00D33E6F" w:rsidRDefault="009C0888" w:rsidP="009C0888">
      <w:pPr>
        <w:spacing w:after="120"/>
        <w:jc w:val="both"/>
      </w:pPr>
      <w:r>
        <w:t>Rumo à foz no Rio Paraná (Itapura, Promissão). Melhor trecho em ambas as fontes: IQA simula</w:t>
      </w:r>
      <w:r>
        <w:t>do cai lentamente de 90 (1940) para 78 (2020s); DBO real em 2012–2024 é de apenas 2,1 mg/L, dentro do limite de Classe 2. Ainda assim, pesticidas simulados saem de quase zero para 1,33 ppm, e o uso do solo predominante virou "Hidrovia e Agropecuária" em 19</w:t>
      </w:r>
      <w:r>
        <w:t>80 — a pressão vem da navegação (hidrovia Tietê-Paraná) e da pecuária extensiva, não de grandes centros urbanos. O risco deste trecho é receber e concentrar, nos últimos reservatórios antes da foz, a carga de sedimento e nutrientes acumulada a montante.</w:t>
      </w:r>
    </w:p>
    <w:p w:rsidR="00D33E6F" w:rsidRDefault="009C0888">
      <w:pPr>
        <w:pStyle w:val="Heading1"/>
      </w:pPr>
      <w:r>
        <w:t>6.</w:t>
      </w:r>
      <w:r>
        <w:t xml:space="preserve"> Painel real de parâmetros monitorados pela CETESB</w:t>
      </w:r>
    </w:p>
    <w:p w:rsidR="00D33E6F" w:rsidRDefault="009C0888" w:rsidP="009C0888">
      <w:pPr>
        <w:spacing w:after="120"/>
        <w:jc w:val="both"/>
      </w:pPr>
      <w:r>
        <w:t>Os 137.452 registros reais extraídos confirmam quatro categorias de poluentes efetivamente monitoradas nos 32 pontos do eixo Tietê: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D33E6F" w:rsidTr="00D33E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2A78D6"/>
          </w:tcPr>
          <w:p w:rsidR="00D33E6F" w:rsidRDefault="009C0888">
            <w:r>
              <w:rPr>
                <w:color w:val="FFFFFF"/>
                <w:sz w:val="20"/>
              </w:rPr>
              <w:t>Categoria</w:t>
            </w:r>
          </w:p>
        </w:tc>
        <w:tc>
          <w:tcPr>
            <w:tcW w:w="4703" w:type="dxa"/>
            <w:shd w:val="clear" w:color="auto" w:fill="2A78D6"/>
          </w:tcPr>
          <w:p w:rsidR="00D33E6F" w:rsidRDefault="009C08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Parâmetros no painel real</w:t>
            </w:r>
          </w:p>
        </w:tc>
      </w:tr>
      <w:tr w:rsidR="00D33E6F" w:rsidTr="00D33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D33E6F" w:rsidRDefault="009C0888">
            <w:r>
              <w:rPr>
                <w:sz w:val="20"/>
              </w:rPr>
              <w:t>Matéria orgânica / esgoto</w:t>
            </w:r>
          </w:p>
        </w:tc>
        <w:tc>
          <w:tcPr>
            <w:tcW w:w="4703" w:type="dxa"/>
          </w:tcPr>
          <w:p w:rsidR="00D33E6F" w:rsidRDefault="009C0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DBO, DQO, </w:t>
            </w:r>
            <w:r>
              <w:rPr>
                <w:sz w:val="20"/>
              </w:rPr>
              <w:t>Nitrogênio (Amoniacal/Nitrato/Nitrito/Kjeldahl), Fósforo Total, Coliformes Termotolerantes, E. coli, Surfactantes</w:t>
            </w:r>
          </w:p>
        </w:tc>
      </w:tr>
      <w:tr w:rsidR="00D33E6F" w:rsidTr="00D33E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D33E6F" w:rsidRDefault="009C0888">
            <w:r>
              <w:rPr>
                <w:sz w:val="20"/>
              </w:rPr>
              <w:t>Metais</w:t>
            </w:r>
          </w:p>
        </w:tc>
        <w:tc>
          <w:tcPr>
            <w:tcW w:w="4703" w:type="dxa"/>
          </w:tcPr>
          <w:p w:rsidR="00D33E6F" w:rsidRDefault="009C08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Mercúrio, Chumbo, Cádmio, Crômio, Níquel, Zinco, Cobre, Manganês, Ferro, Alumínio, Bário, Arsênio</w:t>
            </w:r>
          </w:p>
        </w:tc>
      </w:tr>
      <w:tr w:rsidR="00D33E6F" w:rsidTr="00D33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D33E6F" w:rsidRDefault="009C0888">
            <w:r>
              <w:rPr>
                <w:sz w:val="20"/>
              </w:rPr>
              <w:t>Físico / sedimentar</w:t>
            </w:r>
          </w:p>
        </w:tc>
        <w:tc>
          <w:tcPr>
            <w:tcW w:w="4703" w:type="dxa"/>
          </w:tcPr>
          <w:p w:rsidR="00D33E6F" w:rsidRDefault="009C0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Turbidez, Sólid</w:t>
            </w:r>
            <w:r>
              <w:rPr>
                <w:sz w:val="20"/>
              </w:rPr>
              <w:t>os Totais/Dissolvidos/Suspensos, Condutividade</w:t>
            </w:r>
          </w:p>
        </w:tc>
      </w:tr>
      <w:tr w:rsidR="00D33E6F" w:rsidTr="00D33E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D33E6F" w:rsidRDefault="009C0888">
            <w:r>
              <w:rPr>
                <w:sz w:val="20"/>
              </w:rPr>
              <w:t>Orgânicos / ecotoxicidade</w:t>
            </w:r>
          </w:p>
        </w:tc>
        <w:tc>
          <w:tcPr>
            <w:tcW w:w="4703" w:type="dxa"/>
          </w:tcPr>
          <w:p w:rsidR="00D33E6F" w:rsidRDefault="009C08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Óleos e Graxas, Tolueno/Estireno/Etilbenzeno, ensaios com Ceriodaphnia dubia e Vibrio fischeri, Clorofila-a</w:t>
            </w:r>
          </w:p>
        </w:tc>
      </w:tr>
    </w:tbl>
    <w:p w:rsidR="00D33E6F" w:rsidRDefault="00D33E6F"/>
    <w:p w:rsidR="00D33E6F" w:rsidRDefault="009C0888">
      <w:pPr>
        <w:pStyle w:val="Heading1"/>
      </w:pPr>
      <w:r>
        <w:t>7. Como controlar a poluição — recomendações por trecho</w:t>
      </w:r>
    </w:p>
    <w:p w:rsidR="00D33E6F" w:rsidRDefault="009C0888" w:rsidP="009C0888">
      <w:pPr>
        <w:spacing w:after="120"/>
        <w:jc w:val="both"/>
      </w:pPr>
      <w:r>
        <w:t>O modelo de agen</w:t>
      </w:r>
      <w:r>
        <w:t>tes (ABM) do próprio projeto (models/abm/agents.py) já simula as principais alavancas de governança envolvidas — Comitê de Bacia (outorga), Poder Público (fiscalização e multa), Indústria (redução de carga sob multa), Agricultor (redução de agroquímicos so</w:t>
      </w:r>
      <w:r>
        <w:t>b restrição ambiental) e Concessionária (captação) — e serve de estrutura para as recomendações abaixo.</w:t>
      </w:r>
    </w:p>
    <w:p w:rsidR="00D33E6F" w:rsidRDefault="009C0888">
      <w:pPr>
        <w:pStyle w:val="Heading2"/>
      </w:pPr>
      <w:r>
        <w:t>Alto Tietê</w:t>
      </w:r>
    </w:p>
    <w:p w:rsidR="00D33E6F" w:rsidRDefault="009C0888" w:rsidP="009C0888">
      <w:pPr>
        <w:pStyle w:val="ListBullet"/>
        <w:spacing w:after="80"/>
        <w:jc w:val="both"/>
      </w:pPr>
      <w:r>
        <w:rPr>
          <w:b/>
        </w:rPr>
        <w:t xml:space="preserve">Universalizar coleta e </w:t>
      </w:r>
      <w:proofErr w:type="spellStart"/>
      <w:r>
        <w:rPr>
          <w:b/>
        </w:rPr>
        <w:t>tratamento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esgoto</w:t>
      </w:r>
      <w:proofErr w:type="spellEnd"/>
      <w:r>
        <w:rPr>
          <w:b/>
        </w:rPr>
        <w:t xml:space="preserve"> </w:t>
      </w:r>
      <w:r>
        <w:t xml:space="preserve">continua </w:t>
      </w:r>
      <w:proofErr w:type="spellStart"/>
      <w:r>
        <w:t>sendo</w:t>
      </w:r>
      <w:proofErr w:type="spellEnd"/>
      <w:r>
        <w:t xml:space="preserve"> a </w:t>
      </w:r>
      <w:proofErr w:type="spellStart"/>
      <w:r>
        <w:t>maior</w:t>
      </w:r>
      <w:proofErr w:type="spellEnd"/>
      <w:r>
        <w:t xml:space="preserve"> alavanca — a recuperação parcial de OD/IQA pós-2000 na série simulada </w:t>
      </w:r>
      <w:r>
        <w:t>mostra que o investimento em tratamento funciona, mas os dados reais mostram que ele ainda não acompanha o crescimento da carga.</w:t>
      </w:r>
    </w:p>
    <w:p w:rsidR="00D33E6F" w:rsidRDefault="009C0888" w:rsidP="009C0888">
      <w:pPr>
        <w:pStyle w:val="ListBullet"/>
        <w:spacing w:after="80"/>
        <w:jc w:val="both"/>
      </w:pPr>
      <w:proofErr w:type="spellStart"/>
      <w:r>
        <w:rPr>
          <w:b/>
        </w:rPr>
        <w:t>Fiscalização</w:t>
      </w:r>
      <w:proofErr w:type="spellEnd"/>
      <w:r>
        <w:rPr>
          <w:b/>
        </w:rPr>
        <w:t xml:space="preserve"> </w:t>
      </w:r>
      <w:r>
        <w:t xml:space="preserve">de </w:t>
      </w:r>
      <w:proofErr w:type="spellStart"/>
      <w:r>
        <w:t>ligações</w:t>
      </w:r>
      <w:proofErr w:type="spellEnd"/>
      <w:r>
        <w:t xml:space="preserve"> </w:t>
      </w:r>
      <w:proofErr w:type="spellStart"/>
      <w:r>
        <w:t>clandestinas</w:t>
      </w:r>
      <w:proofErr w:type="spellEnd"/>
      <w:r>
        <w:t xml:space="preserve"> de esgoto na rede pluvial e de lançamentos industriais irregulares — no modelo, correspond</w:t>
      </w:r>
      <w:r>
        <w:t>e ao papel do PoderPúblicoAgent/IndustriaAgent, em que a multa força redução de carga.</w:t>
      </w:r>
    </w:p>
    <w:p w:rsidR="00D33E6F" w:rsidRDefault="009C0888" w:rsidP="009C0888">
      <w:pPr>
        <w:pStyle w:val="ListBullet"/>
        <w:spacing w:after="80"/>
        <w:jc w:val="both"/>
      </w:pPr>
      <w:proofErr w:type="spellStart"/>
      <w:r>
        <w:rPr>
          <w:b/>
        </w:rPr>
        <w:t>Redirecionamento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prioridade</w:t>
      </w:r>
      <w:proofErr w:type="spellEnd"/>
      <w:r>
        <w:rPr>
          <w:b/>
        </w:rPr>
        <w:t xml:space="preserve"> </w:t>
      </w:r>
      <w:r>
        <w:t xml:space="preserve">dado que </w:t>
      </w:r>
      <w:proofErr w:type="spellStart"/>
      <w:r>
        <w:t>os</w:t>
      </w:r>
      <w:proofErr w:type="spellEnd"/>
      <w:r>
        <w:t xml:space="preserve"> </w:t>
      </w:r>
      <w:proofErr w:type="spellStart"/>
      <w:r>
        <w:t>metais</w:t>
      </w:r>
      <w:proofErr w:type="spellEnd"/>
      <w:r>
        <w:t xml:space="preserve"> já estão em trajetória real de melhora, os recursos de fiscalização industrial devem priorizar compostos orgânicos (óleo</w:t>
      </w:r>
      <w:r>
        <w:t>s, BTEX) e surfactantes, não mais metais pesados como prioridade máxima.</w:t>
      </w:r>
    </w:p>
    <w:p w:rsidR="00D33E6F" w:rsidRDefault="009C0888">
      <w:pPr>
        <w:pStyle w:val="Heading2"/>
      </w:pPr>
      <w:r>
        <w:lastRenderedPageBreak/>
        <w:t>Médio Tietê</w:t>
      </w:r>
    </w:p>
    <w:p w:rsidR="00D33E6F" w:rsidRDefault="009C0888" w:rsidP="009C0888">
      <w:pPr>
        <w:pStyle w:val="ListBullet"/>
        <w:spacing w:after="80"/>
        <w:jc w:val="both"/>
      </w:pPr>
      <w:proofErr w:type="spellStart"/>
      <w:r>
        <w:rPr>
          <w:b/>
        </w:rPr>
        <w:t>Manejo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agrícola</w:t>
      </w:r>
      <w:proofErr w:type="spellEnd"/>
      <w:r>
        <w:rPr>
          <w:b/>
        </w:rPr>
        <w:t xml:space="preserve"> </w:t>
      </w:r>
      <w:proofErr w:type="spellStart"/>
      <w:r>
        <w:t>faixas</w:t>
      </w:r>
      <w:proofErr w:type="spellEnd"/>
      <w:r>
        <w:t xml:space="preserve"> de </w:t>
      </w:r>
      <w:proofErr w:type="spellStart"/>
      <w:r>
        <w:t>vegetação</w:t>
      </w:r>
      <w:proofErr w:type="spellEnd"/>
      <w:r>
        <w:t xml:space="preserve"> </w:t>
      </w:r>
      <w:proofErr w:type="spellStart"/>
      <w:r>
        <w:t>ciliar</w:t>
      </w:r>
      <w:proofErr w:type="spellEnd"/>
      <w:r>
        <w:t>, redução do uso de agrotóxicos, rotação de culturas e manejo de solo contra erosão — no modelo, papel do AgricultorAgent, hoje só</w:t>
      </w:r>
      <w:r>
        <w:t xml:space="preserve"> reage sob "restrição ambiental" ativa no cenário.</w:t>
      </w:r>
    </w:p>
    <w:p w:rsidR="00D33E6F" w:rsidRDefault="009C0888" w:rsidP="009C0888">
      <w:pPr>
        <w:pStyle w:val="ListBullet"/>
        <w:spacing w:after="80"/>
        <w:jc w:val="both"/>
      </w:pPr>
      <w:proofErr w:type="spellStart"/>
      <w:r>
        <w:rPr>
          <w:b/>
        </w:rPr>
        <w:t>Controle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aplicação</w:t>
      </w:r>
      <w:proofErr w:type="spellEnd"/>
      <w:r>
        <w:rPr>
          <w:b/>
        </w:rPr>
        <w:t xml:space="preserve"> </w:t>
      </w:r>
      <w:proofErr w:type="spellStart"/>
      <w:r>
        <w:t>aplicação</w:t>
      </w:r>
      <w:proofErr w:type="spellEnd"/>
      <w:r>
        <w:t xml:space="preserve"> de </w:t>
      </w:r>
      <w:proofErr w:type="spellStart"/>
      <w:r>
        <w:t>fertilizante</w:t>
      </w:r>
      <w:proofErr w:type="spellEnd"/>
      <w:r>
        <w:t xml:space="preserve"> </w:t>
      </w:r>
      <w:proofErr w:type="spellStart"/>
      <w:r>
        <w:t>próxima</w:t>
      </w:r>
      <w:proofErr w:type="spellEnd"/>
      <w:r>
        <w:t xml:space="preserve"> ao curso d'água (buffer zones) e monitoramento de agroquímicos por sub-bacia.</w:t>
      </w:r>
    </w:p>
    <w:p w:rsidR="00D33E6F" w:rsidRDefault="009C0888" w:rsidP="009C0888">
      <w:pPr>
        <w:pStyle w:val="ListBullet"/>
        <w:spacing w:after="80"/>
        <w:jc w:val="both"/>
      </w:pPr>
      <w:r>
        <w:rPr>
          <w:b/>
        </w:rPr>
        <w:t>Gestão de sedimento e eutrofização</w:t>
      </w:r>
      <w:r>
        <w:t>dragagem seletiva e monitoramento cont</w:t>
      </w:r>
      <w:r>
        <w:t>ínuo de clorofila-a nos reservatórios em cascata, dado o quadro de eutrofização crescente.</w:t>
      </w:r>
    </w:p>
    <w:p w:rsidR="00D33E6F" w:rsidRDefault="009C0888" w:rsidP="009C0888">
      <w:pPr>
        <w:pStyle w:val="Heading2"/>
        <w:jc w:val="both"/>
      </w:pPr>
      <w:r>
        <w:t>Baixo Tietê</w:t>
      </w:r>
    </w:p>
    <w:p w:rsidR="00D33E6F" w:rsidRDefault="009C0888" w:rsidP="009C0888">
      <w:pPr>
        <w:pStyle w:val="ListBullet"/>
        <w:spacing w:after="80"/>
        <w:jc w:val="both"/>
      </w:pPr>
      <w:proofErr w:type="spellStart"/>
      <w:r>
        <w:rPr>
          <w:b/>
        </w:rPr>
        <w:t>Preservação</w:t>
      </w:r>
      <w:proofErr w:type="spellEnd"/>
      <w:r>
        <w:rPr>
          <w:b/>
        </w:rPr>
        <w:t xml:space="preserve">: </w:t>
      </w:r>
      <w:proofErr w:type="spellStart"/>
      <w:r>
        <w:t>vegetação</w:t>
      </w:r>
      <w:proofErr w:type="spellEnd"/>
      <w:r>
        <w:t xml:space="preserve"> </w:t>
      </w:r>
      <w:proofErr w:type="spellStart"/>
      <w:r>
        <w:t>ciliar</w:t>
      </w:r>
      <w:proofErr w:type="spellEnd"/>
      <w:r>
        <w:t xml:space="preserve"> e </w:t>
      </w:r>
      <w:proofErr w:type="spellStart"/>
      <w:r>
        <w:t>pastagem</w:t>
      </w:r>
      <w:proofErr w:type="spellEnd"/>
      <w:r>
        <w:t xml:space="preserve"> sustentável, evitando expansão agropecuária sem licenciamento.</w:t>
      </w:r>
    </w:p>
    <w:p w:rsidR="00D33E6F" w:rsidRDefault="009C0888" w:rsidP="009C0888">
      <w:pPr>
        <w:pStyle w:val="ListBullet"/>
        <w:spacing w:after="80"/>
        <w:jc w:val="both"/>
      </w:pPr>
      <w:proofErr w:type="spellStart"/>
      <w:r>
        <w:rPr>
          <w:b/>
        </w:rPr>
        <w:t>Monitoramento</w:t>
      </w:r>
      <w:proofErr w:type="spellEnd"/>
      <w:r>
        <w:rPr>
          <w:b/>
        </w:rPr>
        <w:t xml:space="preserve"> </w:t>
      </w:r>
      <w:r>
        <w:t xml:space="preserve">de </w:t>
      </w:r>
      <w:proofErr w:type="spellStart"/>
      <w:r>
        <w:t>clorofila</w:t>
      </w:r>
      <w:proofErr w:type="spellEnd"/>
      <w:r>
        <w:t xml:space="preserve">-a </w:t>
      </w:r>
      <w:proofErr w:type="spellStart"/>
      <w:r>
        <w:t>nos</w:t>
      </w:r>
      <w:proofErr w:type="spellEnd"/>
      <w:r>
        <w:t xml:space="preserve"> </w:t>
      </w:r>
      <w:proofErr w:type="spellStart"/>
      <w:r>
        <w:t>reservatórios</w:t>
      </w:r>
      <w:proofErr w:type="spellEnd"/>
      <w:r>
        <w:t xml:space="preserve"> finai</w:t>
      </w:r>
      <w:r>
        <w:t>s antes da foz, para antecipar o efeito de acúmulo da carga vinda de montante.</w:t>
      </w:r>
    </w:p>
    <w:p w:rsidR="00D33E6F" w:rsidRDefault="009C0888" w:rsidP="009C0888">
      <w:pPr>
        <w:pStyle w:val="Heading2"/>
        <w:jc w:val="both"/>
      </w:pPr>
      <w:r>
        <w:t>Recomendação transversal</w:t>
      </w:r>
    </w:p>
    <w:p w:rsidR="00D33E6F" w:rsidRDefault="009C0888" w:rsidP="009C0888">
      <w:pPr>
        <w:pStyle w:val="ListBullet"/>
        <w:spacing w:after="80"/>
        <w:jc w:val="both"/>
      </w:pPr>
      <w:proofErr w:type="spellStart"/>
      <w:r>
        <w:rPr>
          <w:b/>
        </w:rPr>
        <w:t>Outorga</w:t>
      </w:r>
      <w:proofErr w:type="spellEnd"/>
      <w:r>
        <w:rPr>
          <w:b/>
        </w:rPr>
        <w:t xml:space="preserve"> </w:t>
      </w:r>
      <w:proofErr w:type="spellStart"/>
      <w:r>
        <w:t>vazão</w:t>
      </w:r>
      <w:proofErr w:type="spellEnd"/>
      <w:r>
        <w:t xml:space="preserve"> </w:t>
      </w:r>
      <w:proofErr w:type="spellStart"/>
      <w:r>
        <w:t>ecológica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época de seca (o ComiteBaciaAgent já ajusta outorga por OD simulado).</w:t>
      </w:r>
    </w:p>
    <w:p w:rsidR="00D33E6F" w:rsidRDefault="009C0888" w:rsidP="009C0888">
      <w:pPr>
        <w:pStyle w:val="ListBullet"/>
        <w:spacing w:after="80"/>
        <w:jc w:val="both"/>
      </w:pPr>
      <w:proofErr w:type="spellStart"/>
      <w:r>
        <w:rPr>
          <w:b/>
        </w:rPr>
        <w:t>Encadeamento</w:t>
      </w:r>
      <w:proofErr w:type="spellEnd"/>
      <w:r>
        <w:rPr>
          <w:b/>
        </w:rPr>
        <w:t xml:space="preserve"> entre </w:t>
      </w:r>
      <w:proofErr w:type="spellStart"/>
      <w:r>
        <w:rPr>
          <w:b/>
        </w:rPr>
        <w:t>trechos</w:t>
      </w:r>
      <w:proofErr w:type="spellEnd"/>
      <w:r>
        <w:rPr>
          <w:b/>
        </w:rPr>
        <w:t xml:space="preserve"> </w:t>
      </w:r>
      <w:proofErr w:type="spellStart"/>
      <w:r>
        <w:t>hoje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trecho</w:t>
      </w:r>
      <w:proofErr w:type="spellEnd"/>
      <w:r>
        <w:t xml:space="preserve"> é simu</w:t>
      </w:r>
      <w:r>
        <w:t>lado isoladamente no ABM; propagar carga/vazão de montante para jusante é a extensão mais natural do modelo (já apontada no README do projeto) e tornaria mais realista o efeito do Alto Tietê sobre o Médio.</w:t>
      </w:r>
    </w:p>
    <w:p w:rsidR="00D33E6F" w:rsidRDefault="009C0888" w:rsidP="009C0888">
      <w:pPr>
        <w:pStyle w:val="ListBullet"/>
        <w:spacing w:after="80"/>
        <w:jc w:val="both"/>
      </w:pPr>
      <w:r>
        <w:rPr>
          <w:b/>
        </w:rPr>
        <w:t xml:space="preserve">Maior </w:t>
      </w:r>
      <w:proofErr w:type="spellStart"/>
      <w:r>
        <w:rPr>
          <w:b/>
        </w:rPr>
        <w:t>ganho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credibilidade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científica</w:t>
      </w:r>
      <w:proofErr w:type="spellEnd"/>
      <w:r>
        <w:rPr>
          <w:b/>
        </w:rPr>
        <w:t xml:space="preserve"> </w:t>
      </w:r>
      <w:proofErr w:type="spellStart"/>
      <w:r>
        <w:t>ingerir</w:t>
      </w:r>
      <w:proofErr w:type="spellEnd"/>
      <w:r>
        <w:t xml:space="preserve"> </w:t>
      </w:r>
      <w:proofErr w:type="spellStart"/>
      <w:r>
        <w:t>for</w:t>
      </w:r>
      <w:r>
        <w:t>malmente</w:t>
      </w:r>
      <w:proofErr w:type="spellEnd"/>
      <w:r>
        <w:t xml:space="preserve"> o base_de_dados_pontos.xlsx no pipeline (bronze_pontos_cetesb.py + Silver por ponto×parâmetro×mês), substituindo o proxy simulado por dado observado real — os 137 mil registros já existem no projeto, só não foram processados.</w:t>
      </w:r>
    </w:p>
    <w:p w:rsidR="00D33E6F" w:rsidRDefault="009C0888">
      <w:pPr>
        <w:pStyle w:val="Heading1"/>
      </w:pPr>
      <w:r>
        <w:t>8. Aprofundamento: va</w:t>
      </w:r>
      <w:r>
        <w:t>riação ponto a ponto e cruzamento com vazão real</w:t>
      </w:r>
    </w:p>
    <w:p w:rsidR="00D33E6F" w:rsidRDefault="009C0888" w:rsidP="009C0888">
      <w:pPr>
        <w:spacing w:after="120"/>
        <w:jc w:val="both"/>
      </w:pPr>
      <w:r>
        <w:t>Esta seção resolve as duas limitações apontadas na versão anterior deste relatório: (1) a agregação por trecho escondia a variação interna entre pontos de monitoramento; e (2) a vazão real (DAEE/ANA) não hav</w:t>
      </w:r>
      <w:r>
        <w:t xml:space="preserve">ia sido cruzada numericamente com as concentrações de poluentes. Para (2), foram selecionados apenas os postos fluviométricos instalados sobre o próprio canal principal do Tietê (campo "rio" do cabeçalho DAEE contendo "TIETE,R", no Alto Tietê; e as usinas </w:t>
      </w:r>
      <w:r>
        <w:t>hidrelétricas construídas diretamente no rio — Barra Bonita, Bariri, Ibitinga, Promissão e Três Irmãos — no Médio e Baixo Tietê), excluindo estações de tributários que também aparecem nas mesmas pastas FLUV administrativas.</w:t>
      </w:r>
    </w:p>
    <w:p w:rsidR="00D33E6F" w:rsidRDefault="009C0888">
      <w:pPr>
        <w:pStyle w:val="Heading2"/>
      </w:pPr>
      <w:r>
        <w:lastRenderedPageBreak/>
        <w:t>8.1 Perfil longitudinal real — a</w:t>
      </w:r>
      <w:r>
        <w:t xml:space="preserve"> variação intra-trecho é tão grande quanto entre trechos</w:t>
      </w:r>
    </w:p>
    <w:p w:rsidR="00D33E6F" w:rsidRDefault="009C0888">
      <w:pPr>
        <w:jc w:val="center"/>
      </w:pPr>
      <w:r>
        <w:rPr>
          <w:noProof/>
        </w:rPr>
        <w:drawing>
          <wp:inline distT="0" distB="0" distL="0" distR="0">
            <wp:extent cx="5760720" cy="430991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9_perfil_longitudi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E6F" w:rsidRDefault="009C0888">
      <w:pPr>
        <w:spacing w:after="280"/>
        <w:jc w:val="center"/>
      </w:pPr>
      <w:r>
        <w:rPr>
          <w:i/>
          <w:color w:val="898781"/>
          <w:sz w:val="18"/>
        </w:rPr>
        <w:t>DBO e OD reais por ponto de monitoramento CETESB, ordenados da nascente à foz (apenas pontos com n ≥ 10 medições em 2012–2024).</w:t>
      </w:r>
    </w:p>
    <w:p w:rsidR="00D33E6F" w:rsidRDefault="009C0888" w:rsidP="009C0888">
      <w:pPr>
        <w:spacing w:after="120"/>
        <w:jc w:val="both"/>
      </w:pPr>
      <w:r>
        <w:t>O perfil confirma e quantifica a hipótese: dentro do próprio Alto Tie</w:t>
      </w:r>
      <w:r>
        <w:t xml:space="preserve">tê, a DBO sobe de 3,4 mg/L na nascente (Biritiba-Mirim, Classe 2) para um pico de 48,4 mg/L em plena Região Metropolitana (São Paulo, Av. Aricanduva, Classe 4) — um aumento de 14 vezes dentro do mesmo trecho — enquanto o OD despenca de 4,7 para 0,72 mg/L. </w:t>
      </w:r>
      <w:r>
        <w:t>A quebra mais acentuada acontece exatamente no ponto "a jusante da ETE de Suzano": DBO salta de 3,8 (Mogi das Cruzes, ainda a montante) para 19,3 mg/L, e o OD cai de 4,0 para 0,87 mg/L — um salto que aponta diretamente para lançamento de esgoto tratado/est</w:t>
      </w:r>
      <w:r>
        <w:t>ação de tratamento como ponto de inflexão.</w:t>
      </w:r>
    </w:p>
    <w:p w:rsidR="00D33E6F" w:rsidRDefault="009C0888" w:rsidP="009C0888">
      <w:pPr>
        <w:spacing w:after="120"/>
        <w:jc w:val="both"/>
      </w:pPr>
      <w:r>
        <w:t>O mesmo padrão aparece, em menor escala, dentro do Médio Tietê: os pontos de Salto (16,8 mg/L) e da cidade de Tietê (18,3 mg/L) — ambos núcleos urbanos/industriais — têm DBO comparável aos piores pontos do Alto Ti</w:t>
      </w:r>
      <w:r>
        <w:t>etê, enquanto os reservatórios em cascata a jusante (Barra Bonita, Ibitinga) já mostram recuperação parcial por diluição/autodepuração, produzindo a média de trecho mais branda reportada anteriormente. Isso confirma que agregações por trecho mascaram ponto</w:t>
      </w:r>
      <w:r>
        <w:t>s críticos localizados mesmo em trechos com boa média geral.</w:t>
      </w:r>
    </w:p>
    <w:p w:rsidR="00D33E6F" w:rsidRDefault="009C0888">
      <w:pPr>
        <w:pStyle w:val="Heading2"/>
      </w:pPr>
      <w:r>
        <w:lastRenderedPageBreak/>
        <w:t>8.2 Cruzamento com vazão real — efeito de diluição e carga total transportada</w:t>
      </w:r>
    </w:p>
    <w:p w:rsidR="00D33E6F" w:rsidRDefault="009C0888">
      <w:pPr>
        <w:jc w:val="center"/>
      </w:pPr>
      <w:r>
        <w:rPr>
          <w:noProof/>
        </w:rPr>
        <w:drawing>
          <wp:inline distT="0" distB="0" distL="0" distR="0">
            <wp:extent cx="5760720" cy="241991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10_vazao_x_db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E6F" w:rsidRDefault="009C0888">
      <w:pPr>
        <w:spacing w:after="280"/>
        <w:jc w:val="center"/>
      </w:pPr>
      <w:r>
        <w:rPr>
          <w:i/>
          <w:color w:val="898781"/>
          <w:sz w:val="18"/>
        </w:rPr>
        <w:t>Vazão média anual real (postos DAEE/ANA do canal principal) × DBO média anual real (CETESB), 1978–2024.</w:t>
      </w:r>
    </w:p>
    <w:p w:rsidR="00D33E6F" w:rsidRDefault="009C0888" w:rsidP="009C0888">
      <w:pPr>
        <w:spacing w:after="120"/>
        <w:jc w:val="both"/>
      </w:pPr>
      <w:r>
        <w:t xml:space="preserve">A </w:t>
      </w:r>
      <w:r>
        <w:t>correlação entre vazão e concentração de DBO é negativa e de magnitude moderada em ambos os trechos com série anual suficiente — Alto Tietê: r = -0,59; Médio Tietê: r = -0,54 — confirmando numericamente o efeito de diluição: anos de maior vazão diluem a me</w:t>
      </w:r>
      <w:r>
        <w:t>sma carga lançada em uma concentração menor, e vice-versa. O Baixo Tietê não mostrou correlação equivalente para DBO (r = -0,06), plausivelmente porque a regulação de vazão pelas usinas a montante (Promissão, Três Irmãos) já amortece a variabilidade natura</w:t>
      </w:r>
      <w:r>
        <w:t>l do fluxo antes de chegar a esse trecho.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33E6F" w:rsidTr="00D33E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shd w:val="clear" w:color="auto" w:fill="2A78D6"/>
          </w:tcPr>
          <w:p w:rsidR="00D33E6F" w:rsidRDefault="009C0888">
            <w:r>
              <w:rPr>
                <w:color w:val="FFFFFF"/>
                <w:sz w:val="20"/>
              </w:rPr>
              <w:t>Trecho</w:t>
            </w:r>
          </w:p>
        </w:tc>
        <w:tc>
          <w:tcPr>
            <w:tcW w:w="2351" w:type="dxa"/>
            <w:shd w:val="clear" w:color="auto" w:fill="2A78D6"/>
          </w:tcPr>
          <w:p w:rsidR="00D33E6F" w:rsidRDefault="009C08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Vazão × DBO (r)</w:t>
            </w:r>
          </w:p>
        </w:tc>
        <w:tc>
          <w:tcPr>
            <w:tcW w:w="2351" w:type="dxa"/>
            <w:shd w:val="clear" w:color="auto" w:fill="2A78D6"/>
          </w:tcPr>
          <w:p w:rsidR="00D33E6F" w:rsidRDefault="009C08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Vazão × OD (r)</w:t>
            </w:r>
          </w:p>
        </w:tc>
        <w:tc>
          <w:tcPr>
            <w:tcW w:w="2351" w:type="dxa"/>
            <w:shd w:val="clear" w:color="auto" w:fill="2A78D6"/>
          </w:tcPr>
          <w:p w:rsidR="00D33E6F" w:rsidRDefault="009C08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Leitura</w:t>
            </w:r>
          </w:p>
        </w:tc>
      </w:tr>
      <w:tr w:rsidR="00D33E6F" w:rsidTr="00D33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:rsidR="00D33E6F" w:rsidRDefault="009C0888">
            <w:r>
              <w:rPr>
                <w:sz w:val="20"/>
              </w:rPr>
              <w:t>Alto Tietê</w:t>
            </w:r>
          </w:p>
        </w:tc>
        <w:tc>
          <w:tcPr>
            <w:tcW w:w="2351" w:type="dxa"/>
          </w:tcPr>
          <w:p w:rsidR="00D33E6F" w:rsidRDefault="009C0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-0,59</w:t>
            </w:r>
          </w:p>
        </w:tc>
        <w:tc>
          <w:tcPr>
            <w:tcW w:w="2351" w:type="dxa"/>
          </w:tcPr>
          <w:p w:rsidR="00D33E6F" w:rsidRDefault="009C0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+0,36</w:t>
            </w:r>
          </w:p>
        </w:tc>
        <w:tc>
          <w:tcPr>
            <w:tcW w:w="2351" w:type="dxa"/>
          </w:tcPr>
          <w:p w:rsidR="00D33E6F" w:rsidRDefault="009C0888" w:rsidP="009C088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diluição funciona; mesmo assim, a concentração de fundo (carga) é tão alta que o rio permanece crítico mesmo em </w:t>
            </w:r>
            <w:proofErr w:type="spellStart"/>
            <w:r>
              <w:rPr>
                <w:sz w:val="20"/>
              </w:rPr>
              <w:t>anos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vazão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elevada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33E6F" w:rsidTr="00D33E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:rsidR="00D33E6F" w:rsidRDefault="009C0888">
            <w:r>
              <w:rPr>
                <w:sz w:val="20"/>
              </w:rPr>
              <w:t xml:space="preserve">Médio </w:t>
            </w:r>
            <w:r>
              <w:rPr>
                <w:sz w:val="20"/>
              </w:rPr>
              <w:t>Tietê</w:t>
            </w:r>
          </w:p>
        </w:tc>
        <w:tc>
          <w:tcPr>
            <w:tcW w:w="2351" w:type="dxa"/>
          </w:tcPr>
          <w:p w:rsidR="00D33E6F" w:rsidRDefault="009C08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-0,54</w:t>
            </w:r>
          </w:p>
        </w:tc>
        <w:tc>
          <w:tcPr>
            <w:tcW w:w="2351" w:type="dxa"/>
          </w:tcPr>
          <w:p w:rsidR="00D33E6F" w:rsidRDefault="009C08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+0,45</w:t>
            </w:r>
          </w:p>
        </w:tc>
        <w:tc>
          <w:tcPr>
            <w:tcW w:w="2351" w:type="dxa"/>
          </w:tcPr>
          <w:p w:rsidR="00D33E6F" w:rsidRDefault="009C0888" w:rsidP="009C0888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mesmo padrão de </w:t>
            </w:r>
            <w:proofErr w:type="spellStart"/>
            <w:r>
              <w:rPr>
                <w:sz w:val="20"/>
              </w:rPr>
              <w:t>diluição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mais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consistente</w:t>
            </w:r>
            <w:proofErr w:type="spellEnd"/>
          </w:p>
        </w:tc>
      </w:tr>
      <w:tr w:rsidR="00D33E6F" w:rsidTr="00D33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:rsidR="00D33E6F" w:rsidRDefault="009C0888">
            <w:r>
              <w:rPr>
                <w:sz w:val="20"/>
              </w:rPr>
              <w:t>Baixo Tietê</w:t>
            </w:r>
          </w:p>
        </w:tc>
        <w:tc>
          <w:tcPr>
            <w:tcW w:w="2351" w:type="dxa"/>
          </w:tcPr>
          <w:p w:rsidR="00D33E6F" w:rsidRDefault="009C0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-0,06</w:t>
            </w:r>
          </w:p>
        </w:tc>
        <w:tc>
          <w:tcPr>
            <w:tcW w:w="2351" w:type="dxa"/>
          </w:tcPr>
          <w:p w:rsidR="00D33E6F" w:rsidRDefault="009C0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-0,45</w:t>
            </w:r>
          </w:p>
        </w:tc>
        <w:tc>
          <w:tcPr>
            <w:tcW w:w="2351" w:type="dxa"/>
          </w:tcPr>
          <w:p w:rsidR="00D33E6F" w:rsidRDefault="009C0888" w:rsidP="009C088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vazão regulada por reservatórios a montante; o sinal de OD negativo sugere outro fator dominante (ex.: estratificação/operação das </w:t>
            </w:r>
            <w:proofErr w:type="spellStart"/>
            <w:r>
              <w:rPr>
                <w:sz w:val="20"/>
              </w:rPr>
              <w:t>barragens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não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diluição</w:t>
            </w:r>
            <w:proofErr w:type="spellEnd"/>
            <w:r>
              <w:rPr>
                <w:sz w:val="20"/>
              </w:rPr>
              <w:t xml:space="preserve"> simples.</w:t>
            </w:r>
          </w:p>
        </w:tc>
      </w:tr>
    </w:tbl>
    <w:p w:rsidR="00D33E6F" w:rsidRDefault="00D33E6F"/>
    <w:p w:rsidR="00D33E6F" w:rsidRDefault="009C0888">
      <w:pPr>
        <w:jc w:val="center"/>
      </w:pPr>
      <w:r>
        <w:rPr>
          <w:noProof/>
        </w:rPr>
        <w:lastRenderedPageBreak/>
        <w:drawing>
          <wp:inline distT="0" distB="0" distL="0" distR="0">
            <wp:extent cx="5760720" cy="263347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11_carga_db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E6F" w:rsidRDefault="009C0888">
      <w:pPr>
        <w:spacing w:after="280"/>
        <w:jc w:val="center"/>
      </w:pPr>
      <w:r>
        <w:rPr>
          <w:i/>
          <w:color w:val="898781"/>
          <w:sz w:val="18"/>
        </w:rPr>
        <w:t>Carga diária de DBO (concentração × vazão × 86,4) por trecho, escala logarítmica. Série do Baixo Tietê limitada a 1978–1979 e 2000–2015 pela cobertura das estações de vazão do canal principal identificadas.</w:t>
      </w:r>
    </w:p>
    <w:p w:rsidR="00D33E6F" w:rsidRDefault="009C0888" w:rsidP="009C0888">
      <w:pPr>
        <w:spacing w:after="120"/>
        <w:jc w:val="both"/>
      </w:pPr>
      <w:r>
        <w:t>Ao multiplicar concentração por vazão (carga = DB</w:t>
      </w:r>
      <w:r>
        <w:t xml:space="preserve">O × vazão × 86,4, em kg/dia), o quadro se inverte em termos absolutos: o Médio Tietê transporta rotineiramente 10 a 100 vezes mais carga orgânica total por dia do que o Alto Tietê, mesmo tendo concentração média bem menor — porque sua vazão (400-700 m³/s) </w:t>
      </w:r>
      <w:r>
        <w:t>é enormes ordens de grandeza maior que a do Alto Tietê (5-30 m³/s). Isto é, o Alto Tietê é o trecho mais crítico em concentração (o que afeta diretamente a biota local e o contato humano), mas o Médio Tietê é quem entrega a maior massa absoluta de poluente</w:t>
      </w:r>
      <w:r>
        <w:t xml:space="preserve"> orgânico rio abaixo — um dado relevante para decidir onde investir em capacidade de tratamento pensando na bacia como sistema.</w:t>
      </w:r>
    </w:p>
    <w:p w:rsidR="00D33E6F" w:rsidRDefault="009C0888">
      <w:pPr>
        <w:spacing w:after="120"/>
      </w:pPr>
      <w:r>
        <w:rPr>
          <w:i/>
          <w:color w:val="898781"/>
          <w:sz w:val="20"/>
        </w:rPr>
        <w:t>A série do Alto Tietê também evidencia um efeito hidrológico real: a carga de DBO despenca para seu ponto mais baixo em 2011–201</w:t>
      </w:r>
      <w:r>
        <w:rPr>
          <w:i/>
          <w:color w:val="898781"/>
          <w:sz w:val="20"/>
        </w:rPr>
        <w:t>4, coincidindo com a severa crise hídrica de São Paulo (2013–2015) — não porque a poluição tenha diminuído, mas porque a vazão medida nesses anos foi excepcionalmente baixa. Isso ilustra um risco de interpretação: olhar só para carga (ou só para vazão) sem</w:t>
      </w:r>
      <w:r>
        <w:rPr>
          <w:i/>
          <w:color w:val="898781"/>
          <w:sz w:val="20"/>
        </w:rPr>
        <w:t xml:space="preserve"> a concentração pode sugerir uma falsa melhora ambiental que na verdade reflete apenas escassez hídrica.</w:t>
      </w:r>
    </w:p>
    <w:p w:rsidR="00D33E6F" w:rsidRDefault="009C0888">
      <w:pPr>
        <w:pStyle w:val="Heading1"/>
      </w:pPr>
      <w:r>
        <w:t>9. Limitações remanescentes</w:t>
      </w:r>
    </w:p>
    <w:p w:rsidR="00D33E6F" w:rsidRDefault="009C0888" w:rsidP="009C0888">
      <w:pPr>
        <w:pStyle w:val="ListBullet"/>
        <w:spacing w:after="80"/>
        <w:jc w:val="both"/>
      </w:pPr>
      <w:r>
        <w:t>a série de qualidade da água/solo usada hoje pelo relatório automático do dashboard e pelo modelo ABM é 100% simulada (prox</w:t>
      </w:r>
      <w:r>
        <w:t>y de tendências), não telemetria — documentado no próprio código do projeto (ingestion/bronze_qualidade_solo.py).</w:t>
      </w:r>
    </w:p>
    <w:p w:rsidR="00D33E6F" w:rsidRDefault="009C0888" w:rsidP="009C0888">
      <w:pPr>
        <w:pStyle w:val="ListBullet"/>
        <w:spacing w:after="80"/>
        <w:jc w:val="both"/>
      </w:pPr>
      <w:r>
        <w:t>a seleção dos postos de vazão do "canal principal" (seção 8.2) foi feita por correspondência de nome/metadado (campo "rio" e nomes de usinas h</w:t>
      </w:r>
      <w:r>
        <w:t>idrelétricas), não por um cadastro oficial de postos-referência do Tietê; é uma heurística razoável, mas não substitui uma curadoria hidrológica formal.</w:t>
      </w:r>
    </w:p>
    <w:p w:rsidR="00D33E6F" w:rsidRDefault="009C0888" w:rsidP="009C0888">
      <w:pPr>
        <w:pStyle w:val="ListBullet"/>
        <w:spacing w:after="80"/>
        <w:jc w:val="both"/>
      </w:pPr>
      <w:r>
        <w:t xml:space="preserve">cerca de metade dos 32 pontos de monitoramento têm poucas medições reais no período 2012–2024 (n &lt; 10) </w:t>
      </w:r>
      <w:r>
        <w:t>e foram excluídos do perfil ponto-a-ponto (seção 8.1) por falta de confiabilidade estatística — eles aparecem na tabela de dados brutos, mas não no gráfico.</w:t>
      </w:r>
    </w:p>
    <w:p w:rsidR="00D33E6F" w:rsidRDefault="009C0888" w:rsidP="009C0888">
      <w:pPr>
        <w:pStyle w:val="ListBullet"/>
        <w:spacing w:after="80"/>
        <w:jc w:val="both"/>
      </w:pPr>
      <w:r>
        <w:t>a cobertura de vazão do canal principal do Baixo Tietê é descontínua (1978–1979 e 2000–2015), o que</w:t>
      </w:r>
      <w:r>
        <w:t xml:space="preserve"> limita o cruzamento com poluição nesse trecho aos anos disponíveis.</w:t>
      </w:r>
      <w:bookmarkStart w:id="0" w:name="_GoBack"/>
      <w:bookmarkEnd w:id="0"/>
    </w:p>
    <w:sectPr w:rsidR="00D33E6F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0888"/>
    <w:rsid w:val="00AA1D8D"/>
    <w:rsid w:val="00B47730"/>
    <w:rsid w:val="00CB0664"/>
    <w:rsid w:val="00D33E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A182FE"/>
  <w14:defaultImageDpi w14:val="300"/>
  <w15:docId w15:val="{26A39D20-969B-4182-8E9C-A5A34A778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3A3A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A78D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A78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A78D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ECD83B-DB30-4AE4-BFD4-FB0B349CB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2606</Words>
  <Characters>14857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Silva, José (J.W.)</cp:lastModifiedBy>
  <cp:revision>2</cp:revision>
  <dcterms:created xsi:type="dcterms:W3CDTF">2013-12-23T23:15:00Z</dcterms:created>
  <dcterms:modified xsi:type="dcterms:W3CDTF">2026-07-22T21:53:00Z</dcterms:modified>
  <cp:category/>
</cp:coreProperties>
</file>