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BF37B1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E13598" w:rsidRDefault="00E13598" w:rsidP="007F7FBC">
            <w:pPr>
              <w:pStyle w:val="Ttulo1"/>
            </w:pPr>
            <w:r>
              <w:t>Curso Alterno</w:t>
            </w: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13598" w:rsidRDefault="00E13598" w:rsidP="007F7FB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 funcional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</w:p>
        </w:tc>
      </w:tr>
      <w:tr w:rsidR="00E13598" w:rsidTr="007F7F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E13598" w:rsidRDefault="00E13598" w:rsidP="007F7FB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E13598" w:rsidP="007F7FB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</w:tbl>
    <w:p w:rsidR="00E13598" w:rsidRDefault="00E13598"/>
    <w:sectPr w:rsidR="00E1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98"/>
    <w:rsid w:val="005902E9"/>
    <w:rsid w:val="00B95A73"/>
    <w:rsid w:val="00E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2210</Words>
  <Characters>12156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Wannan</dc:creator>
  <cp:lastModifiedBy>José Wannan</cp:lastModifiedBy>
  <cp:revision>1</cp:revision>
  <dcterms:created xsi:type="dcterms:W3CDTF">2017-12-11T03:57:00Z</dcterms:created>
  <dcterms:modified xsi:type="dcterms:W3CDTF">2017-12-11T04:01:00Z</dcterms:modified>
</cp:coreProperties>
</file>