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NOSOTROS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AGUICONS® cambiamos el skyline de las ciudades. Y comenzamos por la nuestra, en Posadas, Misiones, Argentina, hace más de 15 años. Ésto nos define como empresa y nos motiva a replicarlo en todo el mundo aportando valor a cada contexto de manera innovadora, auténtica y confiable. La manera en que lo hacemos es a través de nuestro diferencial exclusivo como desarrolladora: líneas edilicias enfocadas en un abanico de experiencias —tanto de inversión como para vivir—. Y es en función de esto que organizamos nuestros procesos internos: no solo con la vanguardia en tecnología y certifiaciones (BIM) sino poniendo en el centro al factor humano. En cada área AGUICONS® se potencia con profesionales expertos que aportan un caudal de conocimientos y nuevas ideas para contribuir al crecimiento y mejora de la sociedad. Porque eso es lo que nos guía: ser partícipes en construir el mañana.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AGUICONS® construimos tu futuro.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EQUIPO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COMERCIAL:</w:t>
      </w:r>
      <w:r w:rsidDel="00000000" w:rsidR="00000000" w:rsidRPr="00000000">
        <w:rPr>
          <w:rtl w:val="0"/>
        </w:rPr>
        <w:t xml:space="preserve"> Equipo que conecta nuestra oferta con las personas, construyendo una experiencia de venta exclusiva con nuestros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Profesionales que aportan su conocimiento y experiencia para planificar, coordinar y hacer realidad cada proyecto.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ADMINISTRATIVA:</w:t>
      </w:r>
      <w:r w:rsidDel="00000000" w:rsidR="00000000" w:rsidRPr="00000000">
        <w:rPr>
          <w:rtl w:val="0"/>
        </w:rPr>
        <w:t xml:space="preserve"> Un grupo humano que aporta organización y control, gestionando los recursos económicos y financieros que sostienen el crecimiento de nuestra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LÍNEAS DE PRODUCTO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Baradise: 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Fiel a la tradición de Aguicons® de bautizar con un nombre propio y exclusivo al proyecto insignia de cada nueva línea. Baradise® nace para inaugurar nuestra propuesta residencial más elevada hasta el momento. La expresión máxima de lujo, arquitectura orgánica y diseño contemporáneo frente al río. BARADISE® propone una forma sutil y renovada de habitar la ciudad a través de una arquitectura que combina líneas contemporáneas y materiales nobles. Concebido para integrarse de manera fluida con su entorno, el edificio aprovecha grandes ventanales y distribuciones abiertas que invitan a la luz natural y abren vistas panorámicas hacia el río, creando espacios que transmiten libertad, calma y confort.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Con exclusivas residencias de 2 y 3 dormitorios en suite proyectadas al detalle.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Piscina - Solarium - Gimnasio - Sum - Co-working - Terraza Verde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commentRangeStart w:id="0"/>
      <w:r w:rsidDel="00000000" w:rsidR="00000000" w:rsidRPr="00000000">
        <w:rPr>
          <w:rtl w:val="0"/>
        </w:rPr>
        <w:t xml:space="preserve">Velerian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Benrow: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Benrow Acros: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Tier: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Vantier: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Loftier: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Alarif:</w:t>
        <w:br w:type="textWrapping"/>
        <w:t xml:space="preserve">Alarif </w:t>
      </w:r>
      <w:r w:rsidDel="00000000" w:rsidR="00000000" w:rsidRPr="00000000">
        <w:rPr>
          <w:rtl w:val="0"/>
        </w:rPr>
        <w:t xml:space="preserve">Fazara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Alarif Trench: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SERVICIOS DE CONSTRUCCIÓN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Ofrecemos soluciones integrales de construcción para el sector público y privado, ejecutando cada proyecto con solvencia técnica, eficiencia y cumplimiento riguroso de plazos. Nuestra trayectoria abarca obras de diversa escala y complejidad técnica.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Principales Proyectos y Tipologías: Contamos con experiencia en arquitectura comercial y bancaria, incluyendo sucursales financieras como Banco Macro, oficinas corporativas y locales comerciales; desarrollo residencial, con viviendas unifamiliares de categoría y edificios multifamiliares de propiedad horizontal; infraestructura pública y de salud, como centros hospitalarios, establecimientos educativos y arquitectura institucional; y urbanización y espacios públicos, con la construcción de barrios de viviendas, infraestructura urbana y plazas comunitarias.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Garantizamos una dirección de obra rigurosa, gestión eficiente de recursos y estándares superiores de calidad constructiva de principio a fin.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MOVIMIENTO DE SUELO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Toda gran obra comienza por su vínculo con el terreno. El movimiento de suelos es la etapa en la que preparamos y transformamos el suelo natural para adaptarlo a las exigencias de cada proyecto, definiendo los niveles y condiciones necesarios para recibir sus fundaciones y estructuras.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Contamos con maquinaria y equipamiento especializado de distintas capacidades, seleccionados según las características y requerimientos de cada intervención. Este equipamiento nos permite abordar trabajos de excavación, apertura y preparación de calles, demoliciones, desmontes previos al movimiento de suelos y adecuación de terrenos para proyectos de diversa escala, desde viviendas hasta desarrollos edilicios de mayor envergadura.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Una primera intervención que, aunque permanece bajo la superficie, resulta fundamental para dar solidez a todo aquello que vendrá después.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guicons aguirre" w:id="0" w:date="2026-09-14T15:39:37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las descripciones. Toman de ejemplo la del Baradise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