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spacing w:before="0" w:after="60"/>
        <w:keepNext/>
        <w:jc w:val="start"/>
        <w:pStyle w:val="caption"/>
      </w:pPr>
      <w:r>
        <w:rPr>
          <w:rFonts w:ascii="Calibri" w:hAnsi="Calibri"/>
          <w:sz w:val="24"/>
        </w:rPr>
        <w:t xml:space="preserve">Table </w:t>
      </w:r>
      <w:r>
        <w:fldChar w:fldCharType="begin" w:dirty="true"/>
      </w:r>
      <w:r>
        <w:instrText xml:space="preserve" w:dirty="true"> SEQ Table \* ARABIC </w:instrText>
      </w:r>
      <w:r>
        <w:fldChar w:fldCharType="separate" w:dirty="true"/>
      </w:r>
      <w:r>
        <w:rPr>
          <w:noProof/>
          <w:rFonts w:ascii="Calibri" w:hAnsi="Calibri"/>
          <w:sz w:val="24"/>
        </w:rPr>
        <w:t xml:space="default">1</w:t>
      </w:r>
      <w:r>
        <w:fldChar w:fldCharType="end" w:dirty="true"/>
      </w:r>
      <w:r>
        <w:rPr>
          <w:rFonts w:ascii="Calibri" w:hAnsi="Calibri"/>
          <w:sz w:val="24"/>
        </w:rPr>
        <w:t xml:space="preserve">: </w:t>
      </w:r>
      <w:r>
        <w:rPr>
          <w:rFonts w:ascii="Calibri" w:hAnsi="Calibri"/>
          <w:sz w:val="24"/>
          <w:color w:val="333333"/>
        </w:rPr>
        <w:t xml:space="default">Adjusted estimates from survey-featured Cox regression of PFAS exposure on all-cause mortality: NHANES cycles 1999/00 to 2017/18 (2001/02 omitted)</w:t>
      </w:r>
    </w:p>
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<w:tblPr>
        <w:tblCellMar>
          <w:top w:w="0" w:type="dxa"/>
          <w:bottom w:w="0" w:type="dxa"/>
          <w:start w:w="60" w:type="dxa"/>
          <w:end w:w="60" w:type="dxa"/>
        </w:tblCellMar>
        <w:tblW w:type="auto" w:w="0"/>
        <w:tblLook w:firstRow="0" w:lastRow="0" w:firstColumn="0" w:lastColumn="0" w:noHBand="0" w:noVBand="0"/>
        <w:jc w:val="center"/>
      </w:tblPr>
      <w:tr>
        <w:trPr>
          <w:cantSplit/>
          <w:tblHeader/>
        </w:trPr>
        <w:tc>
          <w:tcPr>
            <w:tcBorders>
              <w:top w:val="single" w:sz="16" w:space="0" w:color="D3D3D3"/>
              <w:bottom w:val="single" w:sz="16" w:space="0" w:color="D3D3D3"/>
              <w:start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b w:val="true"/>
                <w:rFonts w:ascii="Calibri" w:hAnsi="Calibri"/>
                <w:sz w:val="20"/>
              </w:rPr>
              <w:t xml:space="preserve">Characteristic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b w:val="true"/>
                <w:rFonts w:ascii="Calibri" w:hAnsi="Calibri"/>
                <w:sz w:val="20"/>
              </w:rPr>
              <w:t xml:space="preserve">HR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b w:val="true"/>
                <w:rFonts w:ascii="Calibri" w:hAnsi="Calibri"/>
                <w:sz w:val="20"/>
              </w:rPr>
              <w:t xml:space="preserve">95% CI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b w:val="true"/>
                <w:rFonts w:ascii="Calibri" w:hAnsi="Calibri"/>
                <w:sz w:val="20"/>
              </w:rPr>
              <w:t xml:space="preserve">p-value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PFOA_scaled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0.88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0.78, 0.99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0.031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PFOS_scaled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0.86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0.75, 0.99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0.038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PFNA_scaled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1.00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0.90, 1.11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&gt;0.9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PFHxS_scaled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1.04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0.94, 1.16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0.4</w:t>
            </w:r>
          </w:p>
        </w:tc>
      </w:tr>
      <w:tr>
        <w:trPr>
          <w:cantSplit/>
        </w:trPr>
        <w:tc>
          <w:tcPr>
            <w:gridSpan w:val="4"/>
          </w:tcPr>
          <w:p>
            <w:pPr>
              <w:spacing w:before="0" w:after="60"/>
              <w:keepNext/>
            </w:pPr>
            <w:r>
              <w:rPr>
                <w:rFonts w:ascii="Calibri" w:hAnsi="Calibri"/>
                <w:sz w:val="20"/>
              </w:rPr>
              <w:t xml:space="default">Adjusted for: survey cycle, age (with restricted cubic spline), ethnicity, gender, education, diabetes, employment status, poverty to income ratio, BMI, hypertension, chronic kidney disease and hyperlipidemia</w:t>
            </w:r>
          </w:p>
        </w:tc>
      </w:tr>
      <w:tr>
        <w:trPr>
          <w:cantSplit/>
        </w:trPr>
        <w:tc>
          <w:tcPr>
            <w:gridSpan w:val="4"/>
          </w:tcPr>
          <w:p>
            <w:pPr>
              <w:spacing w:before="0" w:after="60"/>
              <w:keepNext/>
            </w:pPr>
            <w:r>
              <w:rPr>
                <w:rFonts w:ascii="Calibri" w:hAnsi="Calibri"/>
                <w:sz w:val="20"/>
              </w:rPr>
              <w:t xml:space="default">Includes PFAS*PFAS interaction terms</w:t>
            </w:r>
          </w:p>
        </w:tc>
      </w:tr>
      <w:tr>
        <w:trPr>
          <w:cantSplit/>
        </w:trPr>
        <w:tc>
          <w:tcPr>
            <w:gridSpan w:val="4"/>
          </w:tcPr>
          <w:p>
            <w:pPr>
              <w:spacing w:before="0" w:after="60"/>
              <w:keepNext/>
            </w:pPr>
            <w:r>
              <w:rPr>
                <w:rFonts w:ascii="Calibri" w:hAnsi="Calibri"/>
                <w:sz w:val="20"/>
              </w:rPr>
              <w:t xml:space="preserve">Abbreviations: CI = Confidence Interval, HR = Hazard Ratio</w:t>
            </w:r>
          </w:p>
        </w:tc>
      </w:tr>
    </w:tbl>
    <w:p>
      <w:pPr>
        <w:pStyle w:val="FirstParagraph"/>
      </w:pPr>
    </w:p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2026-06-13T18:03:14Z</dcterms:created>
  <dcterms:modified xsi:type="dcterms:W3CDTF">2026-06-13T18:03:14Z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