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30" w:before="0"/>
      </w:pPr>
      <w:r>
        <w:t xml:space="preserve">Documento técnico — Nexo Futuro AI</w:t>
      </w:r>
    </w:p>
    <w:p>
      <w:pPr>
        <w:spacing w:after="120" w:line="276"/>
      </w:pPr>
    </w:p>
    <w:p>
      <w:pPr>
        <w:spacing w:after="120" w:line="276"/>
      </w:pPr>
      <w:r>
        <w:rPr>
          <w:b/>
          <w:bCs/>
        </w:rPr>
        <w:t xml:space="preserve">Versión:</w:t>
      </w:r>
      <w:r>
        <w:rPr>
          <w:b w:val="false"/>
          <w:bCs w:val="false"/>
        </w:rPr>
        <w:t xml:space="preserve"> 1.0  </w:t>
      </w:r>
    </w:p>
    <w:p>
      <w:pPr>
        <w:spacing w:after="120" w:line="276"/>
      </w:pPr>
      <w:r>
        <w:rPr>
          <w:b/>
          <w:bCs/>
        </w:rPr>
        <w:t xml:space="preserve">Estado:</w:t>
      </w:r>
      <w:r>
        <w:rPr>
          <w:b w:val="false"/>
          <w:bCs w:val="false"/>
        </w:rPr>
        <w:t xml:space="preserve"> MVP funcional para demostración  </w:t>
      </w:r>
    </w:p>
    <w:p>
      <w:pPr>
        <w:spacing w:after="120" w:line="276"/>
      </w:pPr>
      <w:r>
        <w:rPr>
          <w:b/>
          <w:bCs/>
        </w:rPr>
        <w:t xml:space="preserve">Rama de referencia:</w:t>
      </w:r>
      <w:r>
        <w:rPr>
          <w:b w:val="false"/>
          <w:bCs w:val="false"/>
        </w:rPr>
        <w:t xml:space="preserve"> `main`  </w:t>
      </w:r>
    </w:p>
    <w:p>
      <w:pPr>
        <w:spacing w:after="120" w:line="276"/>
      </w:pPr>
      <w:r>
        <w:rPr>
          <w:b/>
          <w:bCs/>
        </w:rPr>
        <w:t xml:space="preserve">Última revisión técnica:</w:t>
      </w:r>
      <w:r>
        <w:rPr>
          <w:b w:val="false"/>
          <w:bCs w:val="false"/>
        </w:rPr>
        <w:t xml:space="preserve"> 12 de julio de 2026</w:t>
      </w:r>
    </w:p>
    <w:p>
      <w:pPr>
        <w:spacing w:after="120" w:line="276"/>
      </w:pPr>
    </w:p>
    <w:p>
      <w:pPr>
        <w:pStyle w:val="Heading1"/>
        <w:spacing w:after="130" w:before="280"/>
      </w:pPr>
      <w:r>
        <w:t xml:space="preserve">1. Propósito</w:t>
      </w:r>
    </w:p>
    <w:p>
      <w:pPr>
        <w:spacing w:after="120" w:line="276"/>
      </w:pPr>
    </w:p>
    <w:p>
      <w:pPr>
        <w:spacing w:after="120" w:line="276"/>
      </w:pPr>
      <w:r>
        <w:rPr>
          <w:b w:val="false"/>
          <w:bCs w:val="false"/>
        </w:rPr>
        <w:t xml:space="preserve">Nexo Futuro AI es una aplicación web que conecta orientación comercial, educación financiera y seguimiento humano en un mismo recorrido. El producto no busca sustituir a un asesor: organiza el contexto de cada prospecto para que un ejecutivo pueda atenderlo con información suficiente y tomar la decisión final sobre la siguiente acción.</w:t>
      </w:r>
    </w:p>
    <w:p>
      <w:pPr>
        <w:spacing w:after="120" w:line="276"/>
      </w:pPr>
    </w:p>
    <w:p>
      <w:pPr>
        <w:spacing w:after="120" w:line="276"/>
      </w:pPr>
      <w:r>
        <w:rPr>
          <w:b w:val="false"/>
          <w:bCs w:val="false"/>
        </w:rPr>
        <w:t xml:space="preserve">El sistema resuelve cuatro necesidades:</w:t>
      </w:r>
    </w:p>
    <w:p>
      <w:pPr>
        <w:spacing w:after="120" w:line="276"/>
      </w:pPr>
    </w:p>
    <w:p>
      <w:pPr>
        <w:spacing w:after="50" w:line="276"/>
        <w:ind w:left="360" w:hanging="180"/>
      </w:pPr>
      <w:r>
        <w:rPr>
          <w:b w:val="false"/>
          <w:bCs w:val="false"/>
        </w:rPr>
        <w:t xml:space="preserve">1. Capturar prospectos B2C y B2B mediante una conversación en lenguaje natural.</w:t>
      </w:r>
    </w:p>
    <w:p>
      <w:pPr>
        <w:spacing w:after="50" w:line="276"/>
        <w:ind w:left="360" w:hanging="180"/>
      </w:pPr>
      <w:r>
        <w:rPr>
          <w:b w:val="false"/>
          <w:bCs w:val="false"/>
        </w:rPr>
        <w:t xml:space="preserve">2. Convertir lo conversado en datos estructurados y una prioridad comercial explicable.</w:t>
      </w:r>
    </w:p>
    <w:p>
      <w:pPr>
        <w:spacing w:after="50" w:line="276"/>
        <w:ind w:left="360" w:hanging="180"/>
      </w:pPr>
      <w:r>
        <w:rPr>
          <w:b w:val="false"/>
          <w:bCs w:val="false"/>
        </w:rPr>
        <w:t xml:space="preserve">3. Ofrecer una ruta educativa basada en contenido aprobado antes de una posible asesoría.</w:t>
      </w:r>
    </w:p>
    <w:p>
      <w:pPr>
        <w:spacing w:after="50" w:line="276"/>
        <w:ind w:left="360" w:hanging="180"/>
      </w:pPr>
      <w:r>
        <w:rPr>
          <w:b w:val="false"/>
          <w:bCs w:val="false"/>
        </w:rPr>
        <w:t xml:space="preserve">4. Entregar al ejecutivo o administrador un CRM con contexto, seguimiento y control humano de las acciones.</w:t>
      </w:r>
    </w:p>
    <w:p>
      <w:pPr>
        <w:spacing w:after="120" w:line="276"/>
      </w:pPr>
    </w:p>
    <w:p>
      <w:pPr>
        <w:pStyle w:val="Heading1"/>
        <w:spacing w:after="130" w:before="280"/>
      </w:pPr>
      <w:r>
        <w:t xml:space="preserve">2. Alcance funcional</w:t>
      </w:r>
    </w:p>
    <w:p>
      <w:pPr>
        <w:spacing w:after="120" w:line="276"/>
      </w:pPr>
    </w:p>
    <w:p>
      <w:pPr>
        <w:spacing w:after="120" w:line="276"/>
      </w:pPr>
      <w:r>
        <w:rPr>
          <w:b w:val="false"/>
          <w:bCs w:val="false"/>
        </w:rPr>
        <w:t xml:space="preserve">El MVP incluye los siguientes recorridos:</w:t>
      </w:r>
    </w:p>
    <w:p>
      <w:pPr>
        <w:spacing w:after="120" w:line="276"/>
      </w:pP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Prospecto</w:t>
      </w: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  → Orientación con Nexo</w:t>
      </w: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  → Calificación y registro del lead</w:t>
      </w: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  → Futuro Academy</w:t>
      </w: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  → Quiz y consentimiento</w:t>
      </w: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  → Cuenta de seguimiento opcional</w:t>
      </w: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 </w:t>
      </w: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Ejecutivo</w:t>
      </w: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  → Inicio de sesión</w:t>
      </w: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  → Visualización de leads asignados</w:t>
      </w: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  → Cambio de estado y decisión sobre acción sugerida</w:t>
      </w: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  → Publicación de novedades al prospecto</w:t>
      </w: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 </w:t>
      </w: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Administrador</w:t>
      </w: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  → Inicio de sesión</w:t>
      </w: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  → Visión de todos los leads y métricas</w:t>
      </w: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  → Reasignación de leads</w:t>
      </w: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  → Configuración de preguntas B2B y umbrales de prioridad</w:t>
      </w:r>
    </w:p>
    <w:p>
      <w:pPr>
        <w:spacing w:after="120" w:line="276"/>
      </w:pPr>
    </w:p>
    <w:p>
      <w:pPr>
        <w:spacing w:after="120" w:line="276"/>
      </w:pPr>
      <w:r>
        <w:rPr>
          <w:b w:val="false"/>
          <w:bCs w:val="false"/>
        </w:rPr>
        <w:t xml:space="preserve">Las acciones comerciales se registran en el sistema, pero no se conectan todavía a un calendario, proveedor de correo o CRM externo. Esta decisión permite demostrar el flujo completo sin ejecutar comunicaciones reales sin aprobación humana.</w:t>
      </w:r>
    </w:p>
    <w:p>
      <w:pPr>
        <w:spacing w:after="120" w:line="276"/>
      </w:pPr>
    </w:p>
    <w:p>
      <w:pPr>
        <w:pStyle w:val="Heading1"/>
        <w:spacing w:after="130" w:before="280"/>
      </w:pPr>
      <w:r>
        <w:t xml:space="preserve">3. Arquitectura</w:t>
      </w:r>
    </w:p>
    <w:p>
      <w:pPr>
        <w:spacing w:after="120" w:line="276"/>
      </w:pP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┌──────────────────────────────────────────────────────┐</w:t>
      </w: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│                     Navegador web                     │</w:t>
      </w: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│  Prospecto · Ejecutivo · Administrador                │</w:t>
      </w: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└───────────────────────┬──────────────────────────────┘</w:t>
      </w: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                        │ HTTPS</w:t>
      </w: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┌───────────────────────▼──────────────────────────────┐</w:t>
      </w: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│                    Next.js 16                         │</w:t>
      </w: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│  Pantallas React + API Routes del servidor            │</w:t>
      </w: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│                                                       │</w:t>
      </w: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│  /orientacion       /academy        /mi-cuenta        │</w:t>
      </w: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│  /api/prospect/*    /api/academy/*  /api/crm/*        │</w:t>
      </w: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└───────────────┬───────────────────────┬──────────────┘</w:t>
      </w: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                │                       │</w:t>
      </w: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                │                       │</w:t>
      </w: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┌───────────────▼────────────┐  ┌───────▼──────────────┐</w:t>
      </w: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│          Supabase          │  │         Groq          │</w:t>
      </w: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│ PostgreSQL · Auth · RLS    │  │ Extracción, resumen,  │</w:t>
      </w: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│ Leads y seguimiento        │  │ conversación y tutor  │</w:t>
      </w: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└────────────────────────────┘  └──────────────────────┘</w:t>
      </w:r>
    </w:p>
    <w:p>
      <w:pPr>
        <w:spacing w:after="120" w:line="276"/>
      </w:pPr>
    </w:p>
    <w:p>
      <w:pPr>
        <w:pStyle w:val="Heading2"/>
        <w:spacing w:after="130" w:before="280"/>
      </w:pPr>
      <w:r>
        <w:t xml:space="preserve">3.1 Tecnologías</w:t>
      </w:r>
    </w:p>
    <w:p>
      <w:pPr>
        <w:spacing w:after="120" w:line="276"/>
      </w:pPr>
    </w:p>
    <w:tbl>
      <w:tblPr>
        <w:tblW w:type="pct" w:w="100%"/>
        <w:tblBorders>
          <w:top w:val="single" w:color="D9DDE5" w:sz="2"/>
          <w:left w:val="single" w:color="D9DDE5" w:sz="2"/>
          <w:bottom w:val="single" w:color="D9DDE5" w:sz="2"/>
          <w:right w:val="single" w:color="D9DDE5" w:sz="2"/>
          <w:insideH w:val="single" w:color="E7EAF0" w:sz="2"/>
          <w:insideV w:val="single" w:color="E7EAF0" w:sz="2"/>
        </w:tblBorders>
      </w:tblPr>
      <w:tblGrid>
        <w:gridCol w:w="100"/>
        <w:gridCol w:w="100"/>
        <w:gridCol w:w="100"/>
      </w:tblGrid>
      <w:tr>
        <w:tc>
          <w:tcPr>
            <w:shd w:fill="EEEAFE"/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Componente</w:t>
            </w:r>
          </w:p>
        </w:tc>
        <w:tc>
          <w:tcPr>
            <w:shd w:fill="EEEAFE"/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Tecnología</w:t>
            </w:r>
          </w:p>
        </w:tc>
        <w:tc>
          <w:tcPr>
            <w:shd w:fill="EEEAFE"/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Responsabilidad</w:t>
            </w:r>
          </w:p>
        </w:tc>
      </w:tr>
      <w:tr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Aplicación web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Next.js 16, React 19, TypeScript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Interfaz, rutas y API del servidor.</w:t>
            </w:r>
          </w:p>
        </w:tc>
      </w:tr>
      <w:tr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Estilos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CSS propio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Diseño de orientación, Academy y CRM.</w:t>
            </w:r>
          </w:p>
        </w:tc>
      </w:tr>
      <w:tr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Autenticación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Supabase Auth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Sesión de ejecutivos, administradores y prospectos.</w:t>
            </w:r>
          </w:p>
        </w:tc>
      </w:tr>
      <w:tr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Base de datos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Supabase PostgreSQL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Datos comerciales, educativos y de seguimiento.</w:t>
            </w:r>
          </w:p>
        </w:tc>
      </w:tr>
      <w:tr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IA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Groq API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Extracción de datos, respuestas, resúmenes y tutor.</w:t>
            </w:r>
          </w:p>
        </w:tc>
      </w:tr>
      <w:tr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Despliegue recomendado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Vercel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Hospedaje de la aplicación Next.js.</w:t>
            </w:r>
          </w:p>
        </w:tc>
      </w:tr>
    </w:tbl>
    <w:p>
      <w:pPr>
        <w:spacing w:after="40" w:line="276"/>
      </w:pPr>
    </w:p>
    <w:p>
      <w:pPr>
        <w:spacing w:after="120" w:line="276"/>
      </w:pPr>
    </w:p>
    <w:p>
      <w:pPr>
        <w:pStyle w:val="Heading1"/>
        <w:spacing w:after="130" w:before="280"/>
      </w:pPr>
      <w:r>
        <w:t xml:space="preserve">4. Rutas principales</w:t>
      </w:r>
    </w:p>
    <w:p>
      <w:pPr>
        <w:spacing w:after="120" w:line="276"/>
      </w:pPr>
    </w:p>
    <w:tbl>
      <w:tblPr>
        <w:tblW w:type="pct" w:w="100%"/>
        <w:tblBorders>
          <w:top w:val="single" w:color="D9DDE5" w:sz="2"/>
          <w:left w:val="single" w:color="D9DDE5" w:sz="2"/>
          <w:bottom w:val="single" w:color="D9DDE5" w:sz="2"/>
          <w:right w:val="single" w:color="D9DDE5" w:sz="2"/>
          <w:insideH w:val="single" w:color="E7EAF0" w:sz="2"/>
          <w:insideV w:val="single" w:color="E7EAF0" w:sz="2"/>
        </w:tblBorders>
      </w:tblPr>
      <w:tblGrid>
        <w:gridCol w:w="100"/>
        <w:gridCol w:w="100"/>
        <w:gridCol w:w="100"/>
      </w:tblGrid>
      <w:tr>
        <w:tc>
          <w:tcPr>
            <w:shd w:fill="EEEAFE"/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Ruta</w:t>
            </w:r>
          </w:p>
        </w:tc>
        <w:tc>
          <w:tcPr>
            <w:shd w:fill="EEEAFE"/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Tipo de usuario</w:t>
            </w:r>
          </w:p>
        </w:tc>
        <w:tc>
          <w:tcPr>
            <w:shd w:fill="EEEAFE"/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Propósito</w:t>
            </w:r>
          </w:p>
        </w:tc>
      </w:tr>
      <w:tr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`/`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Público e interno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Inicio, acceso a orientación e inicio de sesión interno.</w:t>
            </w:r>
          </w:p>
        </w:tc>
      </w:tr>
      <w:tr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`/orientacion`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Prospecto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Conversación con Nexo y creación del lead.</w:t>
            </w:r>
          </w:p>
        </w:tc>
      </w:tr>
      <w:tr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`/academy?lead_id=...`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Prospecto con lead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Ruta educativa de Futuro Academy.</w:t>
            </w:r>
          </w:p>
        </w:tc>
      </w:tr>
      <w:tr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`/crear-cuenta?lead_id=...`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Prospecto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Creación de una cuenta de seguimiento opcional.</w:t>
            </w:r>
          </w:p>
        </w:tc>
      </w:tr>
      <w:tr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`/mi-cuenta`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Prospecto autenticado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Consulta de estado, asesor asignado y novedades.</w:t>
            </w:r>
          </w:p>
        </w:tc>
      </w:tr>
      <w:tr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`/api/prospect/chat`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Servidor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Orquestación de orientación, IA, puntuación y persistencia.</w:t>
            </w:r>
          </w:p>
        </w:tc>
      </w:tr>
      <w:tr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`/api/academy/context`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Servidor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Contexto del lead y módulos educativos.</w:t>
            </w:r>
          </w:p>
        </w:tc>
      </w:tr>
      <w:tr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`/api/academy/tutor`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Servidor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Respuesta del tutor solo desde contenido aprobado.</w:t>
            </w:r>
          </w:p>
        </w:tc>
      </w:tr>
      <w:tr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`/api/academy/learning-interest`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Servidor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Consentimiento, resultado del quiz y revocación.</w:t>
            </w:r>
          </w:p>
        </w:tc>
      </w:tr>
      <w:tr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`/api/auth/session`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Servidor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Verificación de sesión y rol interno.</w:t>
            </w:r>
          </w:p>
        </w:tc>
      </w:tr>
      <w:tr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`/api/crm/dashboard`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Servidor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Datos del CRM, cambios de estado, reasignaciones y decisiones.</w:t>
            </w:r>
          </w:p>
        </w:tc>
      </w:tr>
      <w:tr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`/api/crm/client-updates`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Servidor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Novedades visibles para un prospecto.</w:t>
            </w:r>
          </w:p>
        </w:tc>
      </w:tr>
      <w:tr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`/api/crm/potential-users`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Servidor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Lista de prospectos con cuenta para seguimiento.</w:t>
            </w:r>
          </w:p>
        </w:tc>
      </w:tr>
      <w:tr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`/api/crm/qualification-config`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Servidor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Configuración exclusiva de administración.</w:t>
            </w:r>
          </w:p>
        </w:tc>
      </w:tr>
    </w:tbl>
    <w:p>
      <w:pPr>
        <w:spacing w:after="40" w:line="276"/>
      </w:pPr>
    </w:p>
    <w:p>
      <w:pPr>
        <w:spacing w:after="120" w:line="276"/>
      </w:pPr>
    </w:p>
    <w:p>
      <w:pPr>
        <w:pStyle w:val="Heading1"/>
        <w:spacing w:after="130" w:before="280"/>
      </w:pPr>
      <w:r>
        <w:t xml:space="preserve">5. Roles y control de acceso</w:t>
      </w:r>
    </w:p>
    <w:p>
      <w:pPr>
        <w:spacing w:after="120" w:line="276"/>
      </w:pPr>
    </w:p>
    <w:p>
      <w:pPr>
        <w:spacing w:after="120" w:line="276"/>
      </w:pPr>
      <w:r>
        <w:rPr>
          <w:b w:val="false"/>
          <w:bCs w:val="false"/>
        </w:rPr>
        <w:t xml:space="preserve">Supabase Auth identifica a la persona; la tabla `users`, relacionada con `profiles`, define la autorización interna.</w:t>
      </w:r>
    </w:p>
    <w:p>
      <w:pPr>
        <w:spacing w:after="120" w:line="276"/>
      </w:pPr>
    </w:p>
    <w:tbl>
      <w:tblPr>
        <w:tblW w:type="pct" w:w="100%"/>
        <w:tblBorders>
          <w:top w:val="single" w:color="D9DDE5" w:sz="2"/>
          <w:left w:val="single" w:color="D9DDE5" w:sz="2"/>
          <w:bottom w:val="single" w:color="D9DDE5" w:sz="2"/>
          <w:right w:val="single" w:color="D9DDE5" w:sz="2"/>
          <w:insideH w:val="single" w:color="E7EAF0" w:sz="2"/>
          <w:insideV w:val="single" w:color="E7EAF0" w:sz="2"/>
        </w:tblBorders>
      </w:tblPr>
      <w:tblGrid>
        <w:gridCol w:w="100"/>
        <w:gridCol w:w="100"/>
        <w:gridCol w:w="100"/>
      </w:tblGrid>
      <w:tr>
        <w:tc>
          <w:tcPr>
            <w:shd w:fill="EEEAFE"/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Rol</w:t>
            </w:r>
          </w:p>
        </w:tc>
        <w:tc>
          <w:tcPr>
            <w:shd w:fill="EEEAFE"/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Perfil en base de datos</w:t>
            </w:r>
          </w:p>
        </w:tc>
        <w:tc>
          <w:tcPr>
            <w:shd w:fill="EEEAFE"/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Permisos</w:t>
            </w:r>
          </w:p>
        </w:tc>
      </w:tr>
      <w:tr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Administrador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`administrador`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Ve todos los leads, métricas, reasigna leads y configura calificación.</w:t>
            </w:r>
          </w:p>
        </w:tc>
      </w:tr>
      <w:tr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Ejecutivo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`executive`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Ve solo los leads asignados, cambia su estado, registra decisiones y publica novedades para ellos.</w:t>
            </w:r>
          </w:p>
        </w:tc>
      </w:tr>
      <w:tr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Prospecto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`prospect`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Solo ve su cuenta, estado, asesor asignado y novedades publicadas para su lead.</w:t>
            </w:r>
          </w:p>
        </w:tc>
      </w:tr>
    </w:tbl>
    <w:p>
      <w:pPr>
        <w:spacing w:after="40" w:line="276"/>
      </w:pPr>
    </w:p>
    <w:p>
      <w:pPr>
        <w:spacing w:after="120" w:line="276"/>
      </w:pPr>
    </w:p>
    <w:p>
      <w:pPr>
        <w:spacing w:after="120" w:line="276"/>
      </w:pPr>
      <w:r>
        <w:rPr>
          <w:b w:val="false"/>
          <w:bCs w:val="false"/>
        </w:rPr>
        <w:t xml:space="preserve">Un registro en Supabase Auth no concede por sí solo acceso al CRM. Para un usuario interno, debe existir una fila activa en `public.users` con el mismo UUID de Auth y el `profile_id` correspondiente. Esta separación evita que una cuenta de prospecto obtenga acceso a funciones internas.</w:t>
      </w:r>
    </w:p>
    <w:p>
      <w:pPr>
        <w:spacing w:after="120" w:line="276"/>
      </w:pPr>
    </w:p>
    <w:p>
      <w:pPr>
        <w:pStyle w:val="Heading1"/>
        <w:spacing w:after="130" w:before="280"/>
      </w:pPr>
      <w:r>
        <w:t xml:space="preserve">6. Flujo de orientación y calificación</w:t>
      </w:r>
    </w:p>
    <w:p>
      <w:pPr>
        <w:spacing w:after="120" w:line="276"/>
      </w:pPr>
    </w:p>
    <w:p>
      <w:pPr>
        <w:pStyle w:val="Heading2"/>
        <w:spacing w:after="130" w:before="280"/>
      </w:pPr>
      <w:r>
        <w:t xml:space="preserve">6.1 Conversación</w:t>
      </w:r>
    </w:p>
    <w:p>
      <w:pPr>
        <w:spacing w:after="120" w:line="276"/>
      </w:pPr>
    </w:p>
    <w:p>
      <w:pPr>
        <w:spacing w:after="120" w:line="276"/>
      </w:pPr>
      <w:r>
        <w:rPr>
          <w:b w:val="false"/>
          <w:bCs w:val="false"/>
        </w:rPr>
        <w:t xml:space="preserve">La ruta `/orientacion` usa el componente `prospect-chat`. La conversación puede recibir respuestas libres, pero conserva una estructura de etapas para asegurar que el lead llegue al CRM con los datos mínimos requeridos.</w:t>
      </w:r>
    </w:p>
    <w:p>
      <w:pPr>
        <w:spacing w:after="120" w:line="276"/>
      </w:pPr>
    </w:p>
    <w:p>
      <w:pPr>
        <w:spacing w:after="120" w:line="276"/>
      </w:pPr>
      <w:r>
        <w:rPr>
          <w:b w:val="false"/>
          <w:bCs w:val="false"/>
        </w:rPr>
        <w:t xml:space="preserve">Etapas compartidas:</w:t>
      </w:r>
    </w:p>
    <w:p>
      <w:pPr>
        <w:spacing w:after="120" w:line="276"/>
      </w:pP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nombre → tipo de lead → objetivo → experiencia → presupuesto</w:t>
      </w: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→ plazo/urgencia → correo → registro del lead</w:t>
      </w:r>
    </w:p>
    <w:p>
      <w:pPr>
        <w:spacing w:after="120" w:line="276"/>
      </w:pPr>
    </w:p>
    <w:p>
      <w:pPr>
        <w:spacing w:after="120" w:line="276"/>
      </w:pPr>
      <w:r>
        <w:rPr>
          <w:b w:val="false"/>
          <w:bCs w:val="false"/>
        </w:rPr>
        <w:t xml:space="preserve">Etapas exclusivas B2B:</w:t>
      </w:r>
    </w:p>
    <w:p>
      <w:pPr>
        <w:spacing w:after="120" w:line="276"/>
      </w:pP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nombre → B2B → empresa → tamaño de empresa → rol en decisión</w:t>
      </w: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→ objetivo → experiencia → presupuesto → urgencia → correo</w:t>
      </w:r>
    </w:p>
    <w:p>
      <w:pPr>
        <w:spacing w:after="120" w:line="276"/>
      </w:pPr>
    </w:p>
    <w:p>
      <w:pPr>
        <w:spacing w:after="120" w:line="276"/>
      </w:pPr>
      <w:r>
        <w:rPr>
          <w:b w:val="false"/>
          <w:bCs w:val="false"/>
        </w:rPr>
        <w:t xml:space="preserve">El tipo B2C o B2B se pregunta de forma explícita. La IA no debe asumir B2C únicamente porque una persona escribió su nombre.</w:t>
      </w:r>
    </w:p>
    <w:p>
      <w:pPr>
        <w:spacing w:after="120" w:line="276"/>
      </w:pPr>
    </w:p>
    <w:p>
      <w:pPr>
        <w:pStyle w:val="Heading2"/>
        <w:spacing w:after="130" w:before="280"/>
      </w:pPr>
      <w:r>
        <w:t xml:space="preserve">6.2 Uso de IA y validaciones</w:t>
      </w:r>
    </w:p>
    <w:p>
      <w:pPr>
        <w:spacing w:after="120" w:line="276"/>
      </w:pPr>
    </w:p>
    <w:p>
      <w:pPr>
        <w:spacing w:after="120" w:line="276"/>
      </w:pPr>
      <w:r>
        <w:rPr>
          <w:b w:val="false"/>
          <w:bCs w:val="false"/>
        </w:rPr>
        <w:t xml:space="preserve">La API `/api/prospect/chat` realiza los siguientes pasos:</w:t>
      </w:r>
    </w:p>
    <w:p>
      <w:pPr>
        <w:spacing w:after="120" w:line="276"/>
      </w:pPr>
    </w:p>
    <w:p>
      <w:pPr>
        <w:spacing w:after="50" w:line="276"/>
        <w:ind w:left="360" w:hanging="180"/>
      </w:pPr>
      <w:r>
        <w:rPr>
          <w:b w:val="false"/>
          <w:bCs w:val="false"/>
        </w:rPr>
        <w:t xml:space="preserve">1. Valida tamaño, forma y orden básico de los mensajes recibidos.</w:t>
      </w:r>
    </w:p>
    <w:p>
      <w:pPr>
        <w:spacing w:after="50" w:line="276"/>
        <w:ind w:left="360" w:hanging="180"/>
      </w:pPr>
      <w:r>
        <w:rPr>
          <w:b w:val="false"/>
          <w:bCs w:val="false"/>
        </w:rPr>
        <w:t xml:space="preserve">2. Envía el historial y el perfil parcial a Groq para extraer datos en formato JSON estructurado.</w:t>
      </w:r>
    </w:p>
    <w:p>
      <w:pPr>
        <w:spacing w:after="50" w:line="276"/>
        <w:ind w:left="360" w:hanging="180"/>
      </w:pPr>
      <w:r>
        <w:rPr>
          <w:b w:val="false"/>
          <w:bCs w:val="false"/>
        </w:rPr>
        <w:t xml:space="preserve">3. Fusiona únicamente datos válidos: nombre, correo, tipo, empresa, objetivo, experiencia, presupuesto, urgencia y campos B2B.</w:t>
      </w:r>
    </w:p>
    <w:p>
      <w:pPr>
        <w:spacing w:after="50" w:line="276"/>
        <w:ind w:left="360" w:hanging="180"/>
      </w:pPr>
      <w:r>
        <w:rPr>
          <w:b w:val="false"/>
          <w:bCs w:val="false"/>
        </w:rPr>
        <w:t xml:space="preserve">4. Si Groq no responde o falla, utiliza reglas deterministas como respaldo.</w:t>
      </w:r>
    </w:p>
    <w:p>
      <w:pPr>
        <w:spacing w:after="50" w:line="276"/>
        <w:ind w:left="360" w:hanging="180"/>
      </w:pPr>
      <w:r>
        <w:rPr>
          <w:b w:val="false"/>
          <w:bCs w:val="false"/>
        </w:rPr>
        <w:t xml:space="preserve">5. Genera una frase conversacional breve y formula la siguiente pregunta obligatoria.</w:t>
      </w:r>
    </w:p>
    <w:p>
      <w:pPr>
        <w:spacing w:after="50" w:line="276"/>
        <w:ind w:left="360" w:hanging="180"/>
      </w:pPr>
      <w:r>
        <w:rPr>
          <w:b w:val="false"/>
          <w:bCs w:val="false"/>
        </w:rPr>
        <w:t xml:space="preserve">6. Cuando todos los datos están completos, calcula la puntuación, genera el resumen y persiste el lead.</w:t>
      </w:r>
    </w:p>
    <w:p>
      <w:pPr>
        <w:spacing w:after="120" w:line="276"/>
      </w:pPr>
    </w:p>
    <w:p>
      <w:pPr>
        <w:spacing w:after="120" w:line="276"/>
      </w:pPr>
      <w:r>
        <w:rPr>
          <w:b w:val="false"/>
          <w:bCs w:val="false"/>
        </w:rPr>
        <w:t xml:space="preserve">El flujo se cancela sin guardar información si el objetivo expresado es ilícito o si la persona rechaza entregar el correo requerido para registrar el lead.</w:t>
      </w:r>
    </w:p>
    <w:p>
      <w:pPr>
        <w:spacing w:after="120" w:line="276"/>
      </w:pPr>
    </w:p>
    <w:p>
      <w:pPr>
        <w:pStyle w:val="Heading2"/>
        <w:spacing w:after="130" w:before="280"/>
      </w:pPr>
      <w:r>
        <w:t xml:space="preserve">6.3 Puntuación de prioridad</w:t>
      </w:r>
    </w:p>
    <w:p>
      <w:pPr>
        <w:spacing w:after="120" w:line="276"/>
      </w:pPr>
    </w:p>
    <w:p>
      <w:pPr>
        <w:spacing w:after="120" w:line="276"/>
      </w:pPr>
      <w:r>
        <w:rPr>
          <w:b w:val="false"/>
          <w:bCs w:val="false"/>
        </w:rPr>
        <w:t xml:space="preserve">La puntuación se calcula con reglas transparentes; no depende de una respuesta opaca del modelo de IA.</w:t>
      </w:r>
    </w:p>
    <w:p>
      <w:pPr>
        <w:spacing w:after="120" w:line="276"/>
      </w:pPr>
    </w:p>
    <w:tbl>
      <w:tblPr>
        <w:tblW w:type="pct" w:w="100%"/>
        <w:tblBorders>
          <w:top w:val="single" w:color="D9DDE5" w:sz="2"/>
          <w:left w:val="single" w:color="D9DDE5" w:sz="2"/>
          <w:bottom w:val="single" w:color="D9DDE5" w:sz="2"/>
          <w:right w:val="single" w:color="D9DDE5" w:sz="2"/>
          <w:insideH w:val="single" w:color="E7EAF0" w:sz="2"/>
          <w:insideV w:val="single" w:color="E7EAF0" w:sz="2"/>
        </w:tblBorders>
      </w:tblPr>
      <w:tblGrid>
        <w:gridCol w:w="100"/>
        <w:gridCol w:w="100"/>
        <w:gridCol w:w="100"/>
      </w:tblGrid>
      <w:tr>
        <w:tc>
          <w:tcPr>
            <w:shd w:fill="EEEAFE"/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Factor</w:t>
            </w:r>
          </w:p>
        </w:tc>
        <w:tc>
          <w:tcPr>
            <w:shd w:fill="EEEAFE"/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Rango</w:t>
            </w:r>
          </w:p>
        </w:tc>
        <w:tc>
          <w:tcPr>
            <w:shd w:fill="EEEAFE"/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Criterio principal</w:t>
            </w:r>
          </w:p>
        </w:tc>
      </w:tr>
      <w:tr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Interés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0–25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Afinidad del objetivo con ahorro, inversión, metas o educación.</w:t>
            </w:r>
          </w:p>
        </w:tc>
      </w:tr>
      <w:tr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Presupuesto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0–25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Monto aproximado indicado.</w:t>
            </w:r>
          </w:p>
        </w:tc>
      </w:tr>
      <w:tr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Afinidad de perfil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0–25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Tipo de lead, objetivo y experiencia disponibles.</w:t>
            </w:r>
          </w:p>
        </w:tc>
      </w:tr>
      <w:tr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Urgencia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0–25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Plazo declarado para comenzar.</w:t>
            </w:r>
          </w:p>
        </w:tc>
      </w:tr>
      <w:tr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Total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0–100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Suma de los cuatro factores.</w:t>
            </w:r>
          </w:p>
        </w:tc>
      </w:tr>
    </w:tbl>
    <w:p>
      <w:pPr>
        <w:spacing w:after="40" w:line="276"/>
      </w:pPr>
    </w:p>
    <w:p>
      <w:pPr>
        <w:spacing w:after="120" w:line="276"/>
      </w:pPr>
    </w:p>
    <w:p>
      <w:pPr>
        <w:spacing w:after="120" w:line="276"/>
      </w:pPr>
      <w:r>
        <w:rPr>
          <w:b w:val="false"/>
          <w:bCs w:val="false"/>
        </w:rPr>
        <w:t xml:space="preserve">Los umbrales iniciales son prioridad alta desde 70 y media desde 40. Un administrador puede ajustar estos valores y las dos preguntas B2B desde el CRM. La explicación del puntaje se muestra en términos de sus cuatro componentes.</w:t>
      </w:r>
    </w:p>
    <w:p>
      <w:pPr>
        <w:spacing w:after="120" w:line="276"/>
      </w:pPr>
    </w:p>
    <w:p>
      <w:pPr>
        <w:pStyle w:val="Heading2"/>
        <w:spacing w:after="130" w:before="280"/>
      </w:pPr>
      <w:r>
        <w:t xml:space="preserve">6.4 Persistencia del lead</w:t>
      </w:r>
    </w:p>
    <w:p>
      <w:pPr>
        <w:spacing w:after="120" w:line="276"/>
      </w:pPr>
    </w:p>
    <w:p>
      <w:pPr>
        <w:spacing w:after="120" w:line="276"/>
      </w:pPr>
      <w:r>
        <w:rPr>
          <w:b w:val="false"/>
          <w:bCs w:val="false"/>
        </w:rPr>
        <w:t xml:space="preserve">Al completar el flujo, el servidor:</w:t>
      </w:r>
    </w:p>
    <w:p>
      <w:pPr>
        <w:spacing w:after="120" w:line="276"/>
      </w:pPr>
    </w:p>
    <w:p>
      <w:pPr>
        <w:spacing w:after="50" w:line="276"/>
        <w:ind w:left="360" w:hanging="180"/>
      </w:pPr>
      <w:r>
        <w:rPr>
          <w:b w:val="false"/>
          <w:bCs w:val="false"/>
        </w:rPr>
        <w:t xml:space="preserve">1. Crea una fila en `leads` con el perfil estructurado, puntaje y estado `nuevo`.</w:t>
      </w:r>
    </w:p>
    <w:p>
      <w:pPr>
        <w:spacing w:after="50" w:line="276"/>
        <w:ind w:left="360" w:hanging="180"/>
      </w:pPr>
      <w:r>
        <w:rPr>
          <w:b w:val="false"/>
          <w:bCs w:val="false"/>
        </w:rPr>
        <w:t xml:space="preserve">2. Asigna el lead al primer ejecutivo activo disponible.</w:t>
      </w:r>
    </w:p>
    <w:p>
      <w:pPr>
        <w:spacing w:after="50" w:line="276"/>
        <w:ind w:left="360" w:hanging="180"/>
      </w:pPr>
      <w:r>
        <w:rPr>
          <w:b w:val="false"/>
          <w:bCs w:val="false"/>
        </w:rPr>
        <w:t xml:space="preserve">3. Guarda en `conversations` el historial de mensajes y el resumen generado.</w:t>
      </w:r>
    </w:p>
    <w:p>
      <w:pPr>
        <w:spacing w:after="120" w:line="276"/>
      </w:pPr>
    </w:p>
    <w:p>
      <w:pPr>
        <w:spacing w:after="120" w:line="276"/>
      </w:pPr>
      <w:r>
        <w:rPr>
          <w:b w:val="false"/>
          <w:bCs w:val="false"/>
        </w:rPr>
        <w:t xml:space="preserve">La asignación posterior puede ser modificada por un administrador desde el dashboard.</w:t>
      </w:r>
    </w:p>
    <w:p>
      <w:pPr>
        <w:spacing w:after="120" w:line="276"/>
      </w:pPr>
    </w:p>
    <w:p>
      <w:pPr>
        <w:pStyle w:val="Heading1"/>
        <w:spacing w:after="130" w:before="280"/>
      </w:pPr>
      <w:r>
        <w:t xml:space="preserve">7. Futuro Academy y Tutor</w:t>
      </w:r>
    </w:p>
    <w:p>
      <w:pPr>
        <w:spacing w:after="120" w:line="276"/>
      </w:pPr>
    </w:p>
    <w:p>
      <w:pPr>
        <w:pStyle w:val="Heading2"/>
        <w:spacing w:after="130" w:before="280"/>
      </w:pPr>
      <w:r>
        <w:t xml:space="preserve">7.1 Principio de contenido aprobado</w:t>
      </w:r>
    </w:p>
    <w:p>
      <w:pPr>
        <w:spacing w:after="120" w:line="276"/>
      </w:pPr>
    </w:p>
    <w:p>
      <w:pPr>
        <w:spacing w:after="120" w:line="276"/>
      </w:pPr>
      <w:r>
        <w:rPr>
          <w:b w:val="false"/>
          <w:bCs w:val="false"/>
        </w:rPr>
        <w:t xml:space="preserve">Academy no utiliza información financiera abierta ni recomienda productos. Los módulos educativos viven en `lib/academy/approved-content.ts` y contienen explicación, ideas clave, límites, fuente y preguntas de quiz.</w:t>
      </w:r>
    </w:p>
    <w:p>
      <w:pPr>
        <w:spacing w:after="120" w:line="276"/>
      </w:pPr>
    </w:p>
    <w:p>
      <w:pPr>
        <w:spacing w:after="120" w:line="276"/>
      </w:pPr>
      <w:r>
        <w:rPr>
          <w:b w:val="false"/>
          <w:bCs w:val="false"/>
        </w:rPr>
        <w:t xml:space="preserve">Los temas implementados son:</w:t>
      </w:r>
    </w:p>
    <w:p>
      <w:pPr>
        <w:spacing w:after="120" w:line="276"/>
      </w:pPr>
    </w:p>
    <w:p>
      <w:pPr>
        <w:spacing w:after="50" w:line="276"/>
        <w:ind w:left="360" w:hanging="180"/>
      </w:pPr>
      <w:r>
        <w:rPr>
          <w:b w:val="false"/>
          <w:bCs w:val="false"/>
        </w:rPr>
        <w:t xml:space="preserve">1. Ahorrar e invertir.</w:t>
      </w:r>
    </w:p>
    <w:p>
      <w:pPr>
        <w:spacing w:after="50" w:line="276"/>
        <w:ind w:left="360" w:hanging="180"/>
      </w:pPr>
      <w:r>
        <w:rPr>
          <w:b w:val="false"/>
          <w:bCs w:val="false"/>
        </w:rPr>
        <w:t xml:space="preserve">2. Riesgo y horizonte de tiempo.</w:t>
      </w:r>
    </w:p>
    <w:p>
      <w:pPr>
        <w:spacing w:after="50" w:line="276"/>
        <w:ind w:left="360" w:hanging="180"/>
      </w:pPr>
      <w:r>
        <w:rPr>
          <w:b w:val="false"/>
          <w:bCs w:val="false"/>
        </w:rPr>
        <w:t xml:space="preserve">3. Objetivos financieros.</w:t>
      </w:r>
    </w:p>
    <w:p>
      <w:pPr>
        <w:spacing w:after="50" w:line="276"/>
        <w:ind w:left="360" w:hanging="180"/>
      </w:pPr>
      <w:r>
        <w:rPr>
          <w:b w:val="false"/>
          <w:bCs w:val="false"/>
        </w:rPr>
        <w:t xml:space="preserve">4. Presupuesto y fondo de emergencia.</w:t>
      </w:r>
    </w:p>
    <w:p>
      <w:pPr>
        <w:spacing w:after="120" w:line="276"/>
      </w:pPr>
    </w:p>
    <w:p>
      <w:pPr>
        <w:spacing w:after="120" w:line="276"/>
      </w:pPr>
      <w:r>
        <w:rPr>
          <w:b w:val="false"/>
          <w:bCs w:val="false"/>
        </w:rPr>
        <w:t xml:space="preserve">Cada respuesta muestra la fuente `Futuro Academy — Fundamentos financieros v1` y la sección correspondiente. Si la pregunta no coincide con contenido autorizado, el tutor informa que no tiene información suficiente y propone derivar a un especialista.</w:t>
      </w:r>
    </w:p>
    <w:p>
      <w:pPr>
        <w:spacing w:after="120" w:line="276"/>
      </w:pPr>
    </w:p>
    <w:p>
      <w:pPr>
        <w:pStyle w:val="Heading2"/>
        <w:spacing w:after="130" w:before="280"/>
      </w:pPr>
      <w:r>
        <w:t xml:space="preserve">7.2 Ruta guiada</w:t>
      </w:r>
    </w:p>
    <w:p>
      <w:pPr>
        <w:spacing w:after="120" w:line="276"/>
      </w:pPr>
    </w:p>
    <w:p>
      <w:pPr>
        <w:spacing w:after="120" w:line="276"/>
      </w:pPr>
      <w:r>
        <w:rPr>
          <w:b w:val="false"/>
          <w:bCs w:val="false"/>
        </w:rPr>
        <w:t xml:space="preserve">Academy conserva el `lead_id` de la orientación para no volver a pedir información comercial. La persona primero recorre los módulos, luego responde el quiz final y únicamente después puede registrar su actividad educativa.</w:t>
      </w:r>
    </w:p>
    <w:p>
      <w:pPr>
        <w:spacing w:after="120" w:line="276"/>
      </w:pP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Orientación terminada</w:t>
      </w: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  → Academy con lead_id</w:t>
      </w: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  → Lectura de módulos</w:t>
      </w: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  → Quiz breve</w:t>
      </w: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  → Resultado</w:t>
      </w: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  → Solicitud de consentimiento</w:t>
      </w:r>
    </w:p>
    <w:p>
      <w:pPr>
        <w:spacing w:after="120" w:line="276"/>
      </w:pPr>
    </w:p>
    <w:p>
      <w:pPr>
        <w:spacing w:after="120" w:line="276"/>
      </w:pPr>
      <w:r>
        <w:rPr>
          <w:b w:val="false"/>
          <w:bCs w:val="false"/>
        </w:rPr>
        <w:t xml:space="preserve">El quiz usa tres preguntas y se considera aprobado con al menos dos respuestas correctas. El resultado se muestra tanto al prospecto como al CRM cuando existe consentimiento.</w:t>
      </w:r>
    </w:p>
    <w:p>
      <w:pPr>
        <w:spacing w:after="120" w:line="276"/>
      </w:pPr>
    </w:p>
    <w:p>
      <w:pPr>
        <w:pStyle w:val="Heading2"/>
        <w:spacing w:after="130" w:before="280"/>
      </w:pPr>
      <w:r>
        <w:t xml:space="preserve">7.3 Consentimiento y revocación</w:t>
      </w:r>
    </w:p>
    <w:p>
      <w:pPr>
        <w:spacing w:after="120" w:line="276"/>
      </w:pPr>
    </w:p>
    <w:p>
      <w:pPr>
        <w:spacing w:after="120" w:line="276"/>
      </w:pPr>
      <w:r>
        <w:rPr>
          <w:b w:val="false"/>
          <w:bCs w:val="false"/>
        </w:rPr>
        <w:t xml:space="preserve">El interés educativo se almacena en `learning_interests` solo cuando el prospecto acepta. Se registra tema, puntaje del quiz, consentimiento y fecha.</w:t>
      </w:r>
    </w:p>
    <w:p>
      <w:pPr>
        <w:spacing w:after="120" w:line="276"/>
      </w:pPr>
    </w:p>
    <w:p>
      <w:pPr>
        <w:spacing w:after="120" w:line="276"/>
      </w:pPr>
      <w:r>
        <w:rPr>
          <w:b w:val="false"/>
          <w:bCs w:val="false"/>
        </w:rPr>
        <w:t xml:space="preserve">Si selecciona “No guardar” o posteriormente retira su autorización, la aplicación revoca el interés educativo correspondiente. Las actividades educativas no deben utilizarse como señal comercial sin ese permiso explícito.</w:t>
      </w:r>
    </w:p>
    <w:p>
      <w:pPr>
        <w:spacing w:after="120" w:line="276"/>
      </w:pPr>
    </w:p>
    <w:p>
      <w:pPr>
        <w:pStyle w:val="Heading1"/>
        <w:spacing w:after="130" w:before="280"/>
      </w:pPr>
      <w:r>
        <w:t xml:space="preserve">8. CRM, seguimiento y decisión humana</w:t>
      </w:r>
    </w:p>
    <w:p>
      <w:pPr>
        <w:spacing w:after="120" w:line="276"/>
      </w:pPr>
    </w:p>
    <w:p>
      <w:pPr>
        <w:spacing w:after="120" w:line="276"/>
      </w:pPr>
      <w:r>
        <w:rPr>
          <w:b w:val="false"/>
          <w:bCs w:val="false"/>
        </w:rPr>
        <w:t xml:space="preserve">El componente `CrmDashboard` obtiene información desde `/api/crm/dashboard` después de validar la sesión y el rol interno.</w:t>
      </w:r>
    </w:p>
    <w:p>
      <w:pPr>
        <w:spacing w:after="120" w:line="276"/>
      </w:pPr>
    </w:p>
    <w:p>
      <w:pPr>
        <w:pStyle w:val="Heading2"/>
        <w:spacing w:after="130" w:before="280"/>
      </w:pPr>
      <w:r>
        <w:t xml:space="preserve">8.1 Dashboard del ejecutivo</w:t>
      </w:r>
    </w:p>
    <w:p>
      <w:pPr>
        <w:spacing w:after="120" w:line="276"/>
      </w:pPr>
    </w:p>
    <w:p>
      <w:pPr>
        <w:spacing w:after="120" w:line="276"/>
      </w:pPr>
      <w:r>
        <w:rPr>
          <w:b w:val="false"/>
          <w:bCs w:val="false"/>
        </w:rPr>
        <w:t xml:space="preserve">El ejecutivo ve exclusivamente leads con `assigned_user_id` igual a su propio usuario. Para cada lead puede consultar:</w:t>
      </w:r>
    </w:p>
    <w:p>
      <w:pPr>
        <w:spacing w:after="120" w:line="276"/>
      </w:pPr>
    </w:p>
    <w:p>
      <w:pPr>
        <w:pStyle w:val="ListParagraph"/>
        <w:numPr>
          <w:ilvl w:val="0"/>
          <w:numId w:val="1"/>
        </w:numPr>
        <w:spacing w:after="50" w:line="276"/>
        <w:ind w:left="360" w:hanging="180"/>
      </w:pPr>
      <w:r>
        <w:rPr>
          <w:b w:val="false"/>
          <w:bCs w:val="false"/>
        </w:rPr>
        <w:t xml:space="preserve">Resumen de IA y contexto comercial.</w:t>
      </w:r>
    </w:p>
    <w:p>
      <w:pPr>
        <w:pStyle w:val="ListParagraph"/>
        <w:numPr>
          <w:ilvl w:val="0"/>
          <w:numId w:val="1"/>
        </w:numPr>
        <w:spacing w:after="50" w:line="276"/>
        <w:ind w:left="360" w:hanging="180"/>
      </w:pPr>
      <w:r>
        <w:rPr>
          <w:b w:val="false"/>
          <w:bCs w:val="false"/>
        </w:rPr>
        <w:t xml:space="preserve">Objetivo, experiencia, urgencia y prioridad.</w:t>
      </w:r>
    </w:p>
    <w:p>
      <w:pPr>
        <w:pStyle w:val="ListParagraph"/>
        <w:numPr>
          <w:ilvl w:val="0"/>
          <w:numId w:val="1"/>
        </w:numPr>
        <w:spacing w:after="50" w:line="276"/>
        <w:ind w:left="360" w:hanging="180"/>
      </w:pPr>
      <w:r>
        <w:rPr>
          <w:b w:val="false"/>
          <w:bCs w:val="false"/>
        </w:rPr>
        <w:t xml:space="preserve">Progreso de Academy y resultado del quiz cuando existe consentimiento.</w:t>
      </w:r>
    </w:p>
    <w:p>
      <w:pPr>
        <w:pStyle w:val="ListParagraph"/>
        <w:numPr>
          <w:ilvl w:val="0"/>
          <w:numId w:val="1"/>
        </w:numPr>
        <w:spacing w:after="50" w:line="276"/>
        <w:ind w:left="360" w:hanging="180"/>
      </w:pPr>
      <w:r>
        <w:rPr>
          <w:b w:val="false"/>
          <w:bCs w:val="false"/>
        </w:rPr>
        <w:t xml:space="preserve">Historial de acciones.</w:t>
      </w:r>
    </w:p>
    <w:p>
      <w:pPr>
        <w:pStyle w:val="ListParagraph"/>
        <w:numPr>
          <w:ilvl w:val="0"/>
          <w:numId w:val="1"/>
        </w:numPr>
        <w:spacing w:after="50" w:line="276"/>
        <w:ind w:left="360" w:hanging="180"/>
      </w:pPr>
      <w:r>
        <w:rPr>
          <w:b w:val="false"/>
          <w:bCs w:val="false"/>
        </w:rPr>
        <w:t xml:space="preserve">Estado actual del seguimiento.</w:t>
      </w:r>
    </w:p>
    <w:p>
      <w:pPr>
        <w:spacing w:after="120" w:line="276"/>
      </w:pPr>
    </w:p>
    <w:p>
      <w:pPr>
        <w:spacing w:after="120" w:line="276"/>
      </w:pPr>
      <w:r>
        <w:rPr>
          <w:b w:val="false"/>
          <w:bCs w:val="false"/>
        </w:rPr>
        <w:t xml:space="preserve">Puede cambiar el estado y registrar la decisión sobre la acción sugerida: aprobar, editar o rechazar. Cada cambio crea una fila en `commercial_actions`.</w:t>
      </w:r>
    </w:p>
    <w:p>
      <w:pPr>
        <w:spacing w:after="120" w:line="276"/>
      </w:pPr>
    </w:p>
    <w:p>
      <w:pPr>
        <w:pStyle w:val="Heading2"/>
        <w:spacing w:after="130" w:before="280"/>
      </w:pPr>
      <w:r>
        <w:t xml:space="preserve">8.2 Dashboard del administrador</w:t>
      </w:r>
    </w:p>
    <w:p>
      <w:pPr>
        <w:spacing w:after="120" w:line="276"/>
      </w:pPr>
    </w:p>
    <w:p>
      <w:pPr>
        <w:spacing w:after="120" w:line="276"/>
      </w:pPr>
      <w:r>
        <w:rPr>
          <w:b w:val="false"/>
          <w:bCs w:val="false"/>
        </w:rPr>
        <w:t xml:space="preserve">El administrador ve todos los leads, métricas del equipo, ejecutivos activos y cuentas potenciales. Además de las acciones del ejecutivo, puede reasignar un lead a otro ejecutivo activo y cambiar la configuración de calificación.</w:t>
      </w:r>
    </w:p>
    <w:p>
      <w:pPr>
        <w:spacing w:after="120" w:line="276"/>
      </w:pPr>
    </w:p>
    <w:p>
      <w:pPr>
        <w:pStyle w:val="Heading2"/>
        <w:spacing w:after="130" w:before="280"/>
      </w:pPr>
      <w:r>
        <w:t xml:space="preserve">8.3 Estados del lead</w:t>
      </w:r>
    </w:p>
    <w:p>
      <w:pPr>
        <w:spacing w:after="120" w:line="276"/>
      </w:pP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nuevo → calificado → en_seguimiento → interesado → cliente</w:t>
      </w: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                                              ↘ descartado</w:t>
      </w:r>
    </w:p>
    <w:p>
      <w:pPr>
        <w:spacing w:after="120" w:line="276"/>
      </w:pPr>
    </w:p>
    <w:p>
      <w:pPr>
        <w:spacing w:after="120" w:line="276"/>
      </w:pPr>
      <w:r>
        <w:rPr>
          <w:b w:val="false"/>
          <w:bCs w:val="false"/>
        </w:rPr>
        <w:t xml:space="preserve">Los estados se validan en la API, se actualizan en `leads` y se auditan mediante un registro en `commercial_actions`. No se depende de que el usuario escriba un estado arbitrario en la base de datos.</w:t>
      </w:r>
    </w:p>
    <w:p>
      <w:pPr>
        <w:spacing w:after="120" w:line="276"/>
      </w:pPr>
    </w:p>
    <w:p>
      <w:pPr>
        <w:pStyle w:val="Heading2"/>
        <w:spacing w:after="130" w:before="280"/>
      </w:pPr>
      <w:r>
        <w:t xml:space="preserve">8.4 Acciones sugeridas</w:t>
      </w:r>
    </w:p>
    <w:p>
      <w:pPr>
        <w:spacing w:after="120" w:line="276"/>
      </w:pPr>
    </w:p>
    <w:p>
      <w:pPr>
        <w:spacing w:after="120" w:line="276"/>
      </w:pPr>
      <w:r>
        <w:rPr>
          <w:b w:val="false"/>
          <w:bCs w:val="false"/>
        </w:rPr>
        <w:t xml:space="preserve">La recomendación se calcula con reglas según estado, puntaje y participación en Academy. Ejemplos:</w:t>
      </w:r>
    </w:p>
    <w:p>
      <w:pPr>
        <w:spacing w:after="120" w:line="276"/>
      </w:pPr>
    </w:p>
    <w:tbl>
      <w:tblPr>
        <w:tblW w:type="pct" w:w="100%"/>
        <w:tblBorders>
          <w:top w:val="single" w:color="D9DDE5" w:sz="2"/>
          <w:left w:val="single" w:color="D9DDE5" w:sz="2"/>
          <w:bottom w:val="single" w:color="D9DDE5" w:sz="2"/>
          <w:right w:val="single" w:color="D9DDE5" w:sz="2"/>
          <w:insideH w:val="single" w:color="E7EAF0" w:sz="2"/>
          <w:insideV w:val="single" w:color="E7EAF0" w:sz="2"/>
        </w:tblBorders>
      </w:tblPr>
      <w:tblGrid>
        <w:gridCol w:w="100"/>
        <w:gridCol w:w="100"/>
      </w:tblGrid>
      <w:tr>
        <w:tc>
          <w:tcPr>
            <w:shd w:fill="EEEAFE"/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Situación</w:t>
            </w:r>
          </w:p>
        </w:tc>
        <w:tc>
          <w:tcPr>
            <w:shd w:fill="EEEAFE"/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Acción sugerida</w:t>
            </w:r>
          </w:p>
        </w:tc>
      </w:tr>
      <w:tr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Lead nuevo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Revisar la información y calificar el lead.</w:t>
            </w:r>
          </w:p>
        </w:tc>
      </w:tr>
      <w:tr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Lead calificado sin Academy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Invitar a completar Futuro Academy.</w:t>
            </w:r>
          </w:p>
        </w:tc>
      </w:tr>
      <w:tr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Lead calificado con Academy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Iniciar seguimiento con el prospecto.</w:t>
            </w:r>
          </w:p>
        </w:tc>
      </w:tr>
      <w:tr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En seguimiento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Registrar el próximo contacto o reunión.</w:t>
            </w:r>
          </w:p>
        </w:tc>
      </w:tr>
      <w:tr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Interesado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Agendar una reunión introductoria.</w:t>
            </w:r>
          </w:p>
        </w:tc>
      </w:tr>
    </w:tbl>
    <w:p>
      <w:pPr>
        <w:spacing w:after="40" w:line="276"/>
      </w:pPr>
    </w:p>
    <w:p>
      <w:pPr>
        <w:spacing w:after="120" w:line="276"/>
      </w:pPr>
    </w:p>
    <w:p>
      <w:pPr>
        <w:spacing w:after="120" w:line="276"/>
      </w:pPr>
      <w:r>
        <w:rPr>
          <w:b w:val="false"/>
          <w:bCs w:val="false"/>
        </w:rPr>
        <w:t xml:space="preserve">La IA puede sugerir, pero no ejecuta comunicaciones ni agenda reuniones por su cuenta. El ejecutivo o administrador tiene la decisión final y el sistema conserva el historial de dicha decisión.</w:t>
      </w:r>
    </w:p>
    <w:p>
      <w:pPr>
        <w:spacing w:after="120" w:line="276"/>
      </w:pPr>
    </w:p>
    <w:p>
      <w:pPr>
        <w:pStyle w:val="Heading1"/>
        <w:spacing w:after="130" w:before="280"/>
      </w:pPr>
      <w:r>
        <w:t xml:space="preserve">9. Cuenta y novedades del prospecto</w:t>
      </w:r>
    </w:p>
    <w:p>
      <w:pPr>
        <w:spacing w:after="120" w:line="276"/>
      </w:pPr>
    </w:p>
    <w:p>
      <w:pPr>
        <w:spacing w:after="120" w:line="276"/>
      </w:pPr>
      <w:r>
        <w:rPr>
          <w:b w:val="false"/>
          <w:bCs w:val="false"/>
        </w:rPr>
        <w:t xml:space="preserve">Al terminar Academy o desde el enlace de creación de cuenta, el prospecto puede crear una cuenta asociada a su `lead_id`. Esta cuenta se almacena en `prospect_accounts` y utiliza Supabase Auth con el perfil `prospect`.</w:t>
      </w:r>
    </w:p>
    <w:p>
      <w:pPr>
        <w:spacing w:after="120" w:line="276"/>
      </w:pPr>
    </w:p>
    <w:p>
      <w:pPr>
        <w:spacing w:after="120" w:line="276"/>
      </w:pPr>
      <w:r>
        <w:rPr>
          <w:b w:val="false"/>
          <w:bCs w:val="false"/>
        </w:rPr>
        <w:t xml:space="preserve">Desde `/mi-cuenta`, el prospecto puede ver:</w:t>
      </w:r>
    </w:p>
    <w:p>
      <w:pPr>
        <w:spacing w:after="120" w:line="276"/>
      </w:pPr>
    </w:p>
    <w:p>
      <w:pPr>
        <w:pStyle w:val="ListParagraph"/>
        <w:numPr>
          <w:ilvl w:val="0"/>
          <w:numId w:val="1"/>
        </w:numPr>
        <w:spacing w:after="50" w:line="276"/>
        <w:ind w:left="360" w:hanging="180"/>
      </w:pPr>
      <w:r>
        <w:rPr>
          <w:b w:val="false"/>
          <w:bCs w:val="false"/>
        </w:rPr>
        <w:t xml:space="preserve">Estado actual de su orientación.</w:t>
      </w:r>
    </w:p>
    <w:p>
      <w:pPr>
        <w:pStyle w:val="ListParagraph"/>
        <w:numPr>
          <w:ilvl w:val="0"/>
          <w:numId w:val="1"/>
        </w:numPr>
        <w:spacing w:after="50" w:line="276"/>
        <w:ind w:left="360" w:hanging="180"/>
      </w:pPr>
      <w:r>
        <w:rPr>
          <w:b w:val="false"/>
          <w:bCs w:val="false"/>
        </w:rPr>
        <w:t xml:space="preserve">Nombre de su asesor asignado, cuando existe.</w:t>
      </w:r>
    </w:p>
    <w:p>
      <w:pPr>
        <w:pStyle w:val="ListParagraph"/>
        <w:numPr>
          <w:ilvl w:val="0"/>
          <w:numId w:val="1"/>
        </w:numPr>
        <w:spacing w:after="50" w:line="276"/>
        <w:ind w:left="360" w:hanging="180"/>
      </w:pPr>
      <w:r>
        <w:rPr>
          <w:b w:val="false"/>
          <w:bCs w:val="false"/>
        </w:rPr>
        <w:t xml:space="preserve">Novedades que un ejecutivo o administrador publicó deliberadamente.</w:t>
      </w:r>
    </w:p>
    <w:p>
      <w:pPr>
        <w:spacing w:after="120" w:line="276"/>
      </w:pPr>
    </w:p>
    <w:p>
      <w:pPr>
        <w:spacing w:after="120" w:line="276"/>
      </w:pPr>
      <w:r>
        <w:rPr>
          <w:b w:val="false"/>
          <w:bCs w:val="false"/>
        </w:rPr>
        <w:t xml:space="preserve">Las novedades se guardan en `client_updates`. No se muestran notas internas, historial completo del CRM ni información de otros leads.</w:t>
      </w:r>
    </w:p>
    <w:p>
      <w:pPr>
        <w:spacing w:after="120" w:line="276"/>
      </w:pPr>
    </w:p>
    <w:p>
      <w:pPr>
        <w:pStyle w:val="Heading1"/>
        <w:spacing w:after="130" w:before="280"/>
      </w:pPr>
      <w:r>
        <w:t xml:space="preserve">10. Modelo de datos</w:t>
      </w:r>
    </w:p>
    <w:p>
      <w:pPr>
        <w:spacing w:after="120" w:line="276"/>
      </w:pPr>
    </w:p>
    <w:tbl>
      <w:tblPr>
        <w:tblW w:type="pct" w:w="100%"/>
        <w:tblBorders>
          <w:top w:val="single" w:color="D9DDE5" w:sz="2"/>
          <w:left w:val="single" w:color="D9DDE5" w:sz="2"/>
          <w:bottom w:val="single" w:color="D9DDE5" w:sz="2"/>
          <w:right w:val="single" w:color="D9DDE5" w:sz="2"/>
          <w:insideH w:val="single" w:color="E7EAF0" w:sz="2"/>
          <w:insideV w:val="single" w:color="E7EAF0" w:sz="2"/>
        </w:tblBorders>
      </w:tblPr>
      <w:tblGrid>
        <w:gridCol w:w="100"/>
        <w:gridCol w:w="100"/>
      </w:tblGrid>
      <w:tr>
        <w:tc>
          <w:tcPr>
            <w:shd w:fill="EEEAFE"/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Tabla</w:t>
            </w:r>
          </w:p>
        </w:tc>
        <w:tc>
          <w:tcPr>
            <w:shd w:fill="EEEAFE"/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Uso en el sistema</w:t>
            </w:r>
          </w:p>
        </w:tc>
      </w:tr>
      <w:tr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`profiles`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Catálogo de roles: administrador, executive y prospect.</w:t>
            </w:r>
          </w:p>
        </w:tc>
      </w:tr>
      <w:tr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`users`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Usuarios internos, rol, identidad y estado activo.</w:t>
            </w:r>
          </w:p>
        </w:tc>
      </w:tr>
      <w:tr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`leads`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Prospectos B2C/B2B, contacto, contexto comercial, prioridad, estado y ejecutivo asignado.</w:t>
            </w:r>
          </w:p>
        </w:tc>
      </w:tr>
      <w:tr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`conversations`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Historial del chat y resumen generado de cada lead.</w:t>
            </w:r>
          </w:p>
        </w:tc>
      </w:tr>
      <w:tr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`learning_interests`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Tema educativo, resultado del quiz, consentimiento y fecha.</w:t>
            </w:r>
          </w:p>
        </w:tc>
      </w:tr>
      <w:tr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`commercial_actions`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Auditoría de estados, reasignaciones y decisiones humanas.</w:t>
            </w:r>
          </w:p>
        </w:tc>
      </w:tr>
      <w:tr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`prospect_accounts`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Vínculo entre un lead y una cuenta de Supabase Auth.</w:t>
            </w:r>
          </w:p>
        </w:tc>
      </w:tr>
      <w:tr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`client_updates`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Mensajes publicados para la cuenta de un prospecto.</w:t>
            </w:r>
          </w:p>
        </w:tc>
      </w:tr>
      <w:tr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`qualification_settings`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Umbrales de prioridad y preguntas configurables B2B.</w:t>
            </w:r>
          </w:p>
        </w:tc>
      </w:tr>
      <w:tr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`opportunities` / `followups`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Entidades disponibles para ampliaciones futuras del CRM.</w:t>
            </w:r>
          </w:p>
        </w:tc>
      </w:tr>
    </w:tbl>
    <w:p>
      <w:pPr>
        <w:spacing w:after="40" w:line="276"/>
      </w:pPr>
    </w:p>
    <w:p>
      <w:pPr>
        <w:spacing w:after="120" w:line="276"/>
      </w:pPr>
    </w:p>
    <w:p>
      <w:pPr>
        <w:spacing w:after="120" w:line="276"/>
      </w:pPr>
      <w:r>
        <w:rPr>
          <w:b w:val="false"/>
          <w:bCs w:val="false"/>
        </w:rPr>
        <w:t xml:space="preserve">Campos relevantes de `leads`:</w:t>
      </w:r>
    </w:p>
    <w:p>
      <w:pPr>
        <w:spacing w:after="120" w:line="276"/>
      </w:pP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id, assigned_user_id, full_name, email, phone, company,</w:t>
      </w: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company_size, decision_role, lead_type, objective, experience,</w:t>
      </w: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budget, urgency_label, interest_level, urgency, lead_score,</w:t>
      </w: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status, created_at, updated_at</w:t>
      </w:r>
    </w:p>
    <w:p>
      <w:pPr>
        <w:spacing w:after="120" w:line="276"/>
      </w:pPr>
    </w:p>
    <w:p>
      <w:pPr>
        <w:pStyle w:val="Heading1"/>
        <w:spacing w:after="130" w:before="280"/>
      </w:pPr>
      <w:r>
        <w:t xml:space="preserve">11. Seguridad y privacidad</w:t>
      </w:r>
    </w:p>
    <w:p>
      <w:pPr>
        <w:spacing w:after="120" w:line="276"/>
      </w:pPr>
    </w:p>
    <w:p>
      <w:pPr>
        <w:spacing w:after="50" w:line="276"/>
        <w:ind w:left="360" w:hanging="180"/>
      </w:pPr>
      <w:r>
        <w:rPr>
          <w:b w:val="false"/>
          <w:bCs w:val="false"/>
        </w:rPr>
        <w:t xml:space="preserve">1. </w:t>
      </w:r>
      <w:r>
        <w:rPr>
          <w:b/>
          <w:bCs/>
        </w:rPr>
        <w:t xml:space="preserve">Claves privadas:</w:t>
      </w:r>
      <w:r>
        <w:rPr>
          <w:b w:val="false"/>
          <w:bCs w:val="false"/>
        </w:rPr>
        <w:t xml:space="preserve"> `SUPABASE_SERVICE_ROLE_KEY` y `GROQ_API_KEY` se usan solo en rutas de servidor. Nunca deben iniciar con `NEXT_PUBLIC_`, incluirse en el repositorio ni aparecer en el navegador.</w:t>
      </w:r>
    </w:p>
    <w:p>
      <w:pPr>
        <w:spacing w:after="50" w:line="276"/>
        <w:ind w:left="360" w:hanging="180"/>
      </w:pPr>
      <w:r>
        <w:rPr>
          <w:b w:val="false"/>
          <w:bCs w:val="false"/>
        </w:rPr>
        <w:t xml:space="preserve">2. </w:t>
      </w:r>
      <w:r>
        <w:rPr>
          <w:b/>
          <w:bCs/>
        </w:rPr>
        <w:t xml:space="preserve">Autorización:</w:t>
      </w:r>
      <w:r>
        <w:rPr>
          <w:b w:val="false"/>
          <w:bCs w:val="false"/>
        </w:rPr>
        <w:t xml:space="preserve"> cada API del CRM valida el token de Supabase Auth y comprueba rol y estado activo en `users`.</w:t>
      </w:r>
    </w:p>
    <w:p>
      <w:pPr>
        <w:spacing w:after="50" w:line="276"/>
        <w:ind w:left="360" w:hanging="180"/>
      </w:pPr>
      <w:r>
        <w:rPr>
          <w:b w:val="false"/>
          <w:bCs w:val="false"/>
        </w:rPr>
        <w:t xml:space="preserve">3. </w:t>
      </w:r>
      <w:r>
        <w:rPr>
          <w:b/>
          <w:bCs/>
        </w:rPr>
        <w:t xml:space="preserve">Separación de datos:</w:t>
      </w:r>
      <w:r>
        <w:rPr>
          <w:b w:val="false"/>
          <w:bCs w:val="false"/>
        </w:rPr>
        <w:t xml:space="preserve"> un ejecutivo solo puede modificar leads asignados a él; un administrador puede ver y reasignar el conjunto completo.</w:t>
      </w:r>
    </w:p>
    <w:p>
      <w:pPr>
        <w:spacing w:after="50" w:line="276"/>
        <w:ind w:left="360" w:hanging="180"/>
      </w:pPr>
      <w:r>
        <w:rPr>
          <w:b w:val="false"/>
          <w:bCs w:val="false"/>
        </w:rPr>
        <w:t xml:space="preserve">4. </w:t>
      </w:r>
      <w:r>
        <w:rPr>
          <w:b/>
          <w:bCs/>
        </w:rPr>
        <w:t xml:space="preserve">RLS:</w:t>
      </w:r>
      <w:r>
        <w:rPr>
          <w:b w:val="false"/>
          <w:bCs w:val="false"/>
        </w:rPr>
        <w:t xml:space="preserve"> `prospect_accounts`, `client_updates` y `qualification_settings` tienen Row Level Security habilitado. El acceso se realiza mediante rutas servidor con clave de servicio y validaciones previas de identidad.</w:t>
      </w:r>
    </w:p>
    <w:p>
      <w:pPr>
        <w:spacing w:after="50" w:line="276"/>
        <w:ind w:left="360" w:hanging="180"/>
      </w:pPr>
      <w:r>
        <w:rPr>
          <w:b w:val="false"/>
          <w:bCs w:val="false"/>
        </w:rPr>
        <w:t xml:space="preserve">5. </w:t>
      </w:r>
      <w:r>
        <w:rPr>
          <w:b/>
          <w:bCs/>
        </w:rPr>
        <w:t xml:space="preserve">Consentimiento:</w:t>
      </w:r>
      <w:r>
        <w:rPr>
          <w:b w:val="false"/>
          <w:bCs w:val="false"/>
        </w:rPr>
        <w:t xml:space="preserve"> los datos educativos se almacenan únicamente después de aceptar; se ofrece revocación.</w:t>
      </w:r>
    </w:p>
    <w:p>
      <w:pPr>
        <w:spacing w:after="50" w:line="276"/>
        <w:ind w:left="360" w:hanging="180"/>
      </w:pPr>
      <w:r>
        <w:rPr>
          <w:b w:val="false"/>
          <w:bCs w:val="false"/>
        </w:rPr>
        <w:t xml:space="preserve">6. </w:t>
      </w:r>
      <w:r>
        <w:rPr>
          <w:b/>
          <w:bCs/>
        </w:rPr>
        <w:t xml:space="preserve">Tutor seguro:</w:t>
      </w:r>
      <w:r>
        <w:rPr>
          <w:b w:val="false"/>
          <w:bCs w:val="false"/>
        </w:rPr>
        <w:t xml:space="preserve"> el contenido aprobado excluye recomendaciones de productos, rendimientos o asesoría financiera personalizada.</w:t>
      </w:r>
    </w:p>
    <w:p>
      <w:pPr>
        <w:spacing w:after="120" w:line="276"/>
      </w:pPr>
    </w:p>
    <w:p>
      <w:pPr>
        <w:pStyle w:val="Heading1"/>
        <w:spacing w:after="130" w:before="280"/>
      </w:pPr>
      <w:r>
        <w:t xml:space="preserve">12. Migraciones de Supabase</w:t>
      </w:r>
    </w:p>
    <w:p>
      <w:pPr>
        <w:spacing w:after="120" w:line="276"/>
      </w:pPr>
    </w:p>
    <w:p>
      <w:pPr>
        <w:spacing w:after="120" w:line="276"/>
      </w:pPr>
      <w:r>
        <w:rPr>
          <w:b w:val="false"/>
          <w:bCs w:val="false"/>
        </w:rPr>
        <w:t xml:space="preserve">Las migraciones incluidas complementan el esquema inicial que ya contiene `users`, `profiles`, `leads`, `conversations`, `learning_interests`, `opportunities`, `followups` y `commercial_actions`.</w:t>
      </w:r>
    </w:p>
    <w:p>
      <w:pPr>
        <w:spacing w:after="120" w:line="276"/>
      </w:pPr>
    </w:p>
    <w:p>
      <w:pPr>
        <w:spacing w:after="120" w:line="276"/>
      </w:pPr>
      <w:r>
        <w:rPr>
          <w:b w:val="false"/>
          <w:bCs w:val="false"/>
        </w:rPr>
        <w:t xml:space="preserve">Aplicar en este orden desde </w:t>
      </w:r>
      <w:r>
        <w:rPr>
          <w:b/>
          <w:bCs/>
        </w:rPr>
        <w:t xml:space="preserve">Supabase → SQL Editor</w:t>
      </w:r>
      <w:r>
        <w:rPr>
          <w:b w:val="false"/>
          <w:bCs w:val="false"/>
        </w:rPr>
        <w:t xml:space="preserve">:</w:t>
      </w:r>
    </w:p>
    <w:p>
      <w:pPr>
        <w:spacing w:after="120" w:line="276"/>
      </w:pPr>
    </w:p>
    <w:p>
      <w:pPr>
        <w:spacing w:after="50" w:line="276"/>
        <w:ind w:left="360" w:hanging="180"/>
      </w:pPr>
      <w:r>
        <w:rPr>
          <w:b w:val="false"/>
          <w:bCs w:val="false"/>
        </w:rPr>
        <w:t xml:space="preserve">1. `202607120003_strengthen_prospect_records.sql`</w:t>
      </w:r>
    </w:p>
    <w:p>
      <w:pPr>
        <w:spacing w:after="50" w:line="276"/>
        <w:ind w:left="360" w:hanging="180"/>
      </w:pPr>
      <w:r>
        <w:rPr>
          <w:b w:val="false"/>
          <w:bCs w:val="false"/>
        </w:rPr>
        <w:t xml:space="preserve">2. `202607120004_link_auth_roles.sql`</w:t>
      </w:r>
    </w:p>
    <w:p>
      <w:pPr>
        <w:spacing w:after="50" w:line="276"/>
        <w:ind w:left="360" w:hanging="180"/>
      </w:pPr>
      <w:r>
        <w:rPr>
          <w:b w:val="false"/>
          <w:bCs w:val="false"/>
        </w:rPr>
        <w:t xml:space="preserve">3. `202607120005_add_prospect_accounts.sql`</w:t>
      </w:r>
    </w:p>
    <w:p>
      <w:pPr>
        <w:spacing w:after="50" w:line="276"/>
        <w:ind w:left="360" w:hanging="180"/>
      </w:pPr>
      <w:r>
        <w:rPr>
          <w:b w:val="false"/>
          <w:bCs w:val="false"/>
        </w:rPr>
        <w:t xml:space="preserve">4. `202607130006_enable_dashboard_updates.sql`</w:t>
      </w:r>
    </w:p>
    <w:p>
      <w:pPr>
        <w:spacing w:after="50" w:line="276"/>
        <w:ind w:left="360" w:hanging="180"/>
      </w:pPr>
      <w:r>
        <w:rPr>
          <w:b w:val="false"/>
          <w:bCs w:val="false"/>
        </w:rPr>
        <w:t xml:space="preserve">5. `202607130007_add_b2b_lead_details.sql`</w:t>
      </w:r>
    </w:p>
    <w:p>
      <w:pPr>
        <w:spacing w:after="50" w:line="276"/>
        <w:ind w:left="360" w:hanging="180"/>
      </w:pPr>
      <w:r>
        <w:rPr>
          <w:b w:val="false"/>
          <w:bCs w:val="false"/>
        </w:rPr>
        <w:t xml:space="preserve">6. `202607130008_add_qualification_settings.sql`</w:t>
      </w:r>
    </w:p>
    <w:p>
      <w:pPr>
        <w:spacing w:after="120" w:line="276"/>
      </w:pPr>
    </w:p>
    <w:p>
      <w:pPr>
        <w:spacing w:after="120" w:line="276"/>
      </w:pPr>
      <w:r>
        <w:rPr>
          <w:b w:val="false"/>
          <w:bCs w:val="false"/>
        </w:rPr>
        <w:t xml:space="preserve">En la última migración debe mantenerse habilitado </w:t>
      </w:r>
      <w:r>
        <w:rPr>
          <w:b/>
          <w:bCs/>
        </w:rPr>
        <w:t xml:space="preserve">Row Level Security</w:t>
      </w:r>
      <w:r>
        <w:rPr>
          <w:b w:val="false"/>
          <w:bCs w:val="false"/>
        </w:rPr>
        <w:t xml:space="preserve">. No se deben crear políticas públicas para `qualification_settings`; la API valida que el solicitante sea administrador antes de acceder con la clave de servicio.</w:t>
      </w:r>
    </w:p>
    <w:p>
      <w:pPr>
        <w:spacing w:after="120" w:line="276"/>
      </w:pPr>
    </w:p>
    <w:p>
      <w:pPr>
        <w:pStyle w:val="Heading1"/>
        <w:spacing w:after="130" w:before="280"/>
      </w:pPr>
      <w:r>
        <w:t xml:space="preserve">13. Configuración local</w:t>
      </w:r>
    </w:p>
    <w:p>
      <w:pPr>
        <w:spacing w:after="120" w:line="276"/>
      </w:pPr>
    </w:p>
    <w:p>
      <w:pPr>
        <w:pStyle w:val="Heading2"/>
        <w:spacing w:after="130" w:before="280"/>
      </w:pPr>
      <w:r>
        <w:t xml:space="preserve">13.1 Requisitos</w:t>
      </w:r>
    </w:p>
    <w:p>
      <w:pPr>
        <w:spacing w:after="120" w:line="276"/>
      </w:pPr>
    </w:p>
    <w:p>
      <w:pPr>
        <w:pStyle w:val="ListParagraph"/>
        <w:numPr>
          <w:ilvl w:val="0"/>
          <w:numId w:val="1"/>
        </w:numPr>
        <w:spacing w:after="50" w:line="276"/>
        <w:ind w:left="360" w:hanging="180"/>
      </w:pPr>
      <w:r>
        <w:rPr>
          <w:b w:val="false"/>
          <w:bCs w:val="false"/>
        </w:rPr>
        <w:t xml:space="preserve">Node.js 22.13 o superior.</w:t>
      </w:r>
    </w:p>
    <w:p>
      <w:pPr>
        <w:pStyle w:val="ListParagraph"/>
        <w:numPr>
          <w:ilvl w:val="0"/>
          <w:numId w:val="1"/>
        </w:numPr>
        <w:spacing w:after="50" w:line="276"/>
        <w:ind w:left="360" w:hanging="180"/>
      </w:pPr>
      <w:r>
        <w:rPr>
          <w:b w:val="false"/>
          <w:bCs w:val="false"/>
        </w:rPr>
        <w:t xml:space="preserve">Proyecto de Supabase con las tablas y migraciones aplicadas.</w:t>
      </w:r>
    </w:p>
    <w:p>
      <w:pPr>
        <w:pStyle w:val="ListParagraph"/>
        <w:numPr>
          <w:ilvl w:val="0"/>
          <w:numId w:val="1"/>
        </w:numPr>
        <w:spacing w:after="50" w:line="276"/>
        <w:ind w:left="360" w:hanging="180"/>
      </w:pPr>
      <w:r>
        <w:rPr>
          <w:b w:val="false"/>
          <w:bCs w:val="false"/>
        </w:rPr>
        <w:t xml:space="preserve">Clave de Groq válida para las capacidades de IA.</w:t>
      </w:r>
    </w:p>
    <w:p>
      <w:pPr>
        <w:spacing w:after="120" w:line="276"/>
      </w:pPr>
    </w:p>
    <w:p>
      <w:pPr>
        <w:pStyle w:val="Heading2"/>
        <w:spacing w:after="130" w:before="280"/>
      </w:pPr>
      <w:r>
        <w:t xml:space="preserve">13.2 Variables de entorno</w:t>
      </w:r>
    </w:p>
    <w:p>
      <w:pPr>
        <w:spacing w:after="120" w:line="276"/>
      </w:pPr>
    </w:p>
    <w:p>
      <w:pPr>
        <w:spacing w:after="120" w:line="276"/>
      </w:pPr>
      <w:r>
        <w:rPr>
          <w:b w:val="false"/>
          <w:bCs w:val="false"/>
        </w:rPr>
        <w:t xml:space="preserve">Crear `.env.local` a partir de `.env.example`:</w:t>
      </w:r>
    </w:p>
    <w:p>
      <w:pPr>
        <w:spacing w:after="120" w:line="276"/>
      </w:pP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NEXT_PUBLIC_SUPABASE_URL=</w:t>
      </w: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NEXT_PUBLIC_SUPABASE_PUBLISHABLE_KEY=</w:t>
      </w: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SUPABASE_SERVICE_ROLE_KEY=</w:t>
      </w: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 </w:t>
      </w: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GROQ_API_KEY=</w:t>
      </w: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GROQ_CHAT_MODEL=llama-3.1-8b-instant</w:t>
      </w: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GROQ_SUMMARY_MODEL=llama-3.3-70b-versatile</w:t>
      </w: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GROQ_TUTOR_MODEL=llama-3.1-8b-instant</w:t>
      </w:r>
    </w:p>
    <w:p>
      <w:pPr>
        <w:spacing w:after="120" w:line="276"/>
      </w:pPr>
    </w:p>
    <w:p>
      <w:pPr>
        <w:spacing w:after="120" w:line="276"/>
      </w:pPr>
      <w:r>
        <w:rPr>
          <w:b w:val="false"/>
          <w:bCs w:val="false"/>
        </w:rPr>
        <w:t xml:space="preserve">`SUPABASE_SERVICE_ROLE_KEY` y `GROQ_API_KEY` son secretos. `.env.local` está excluido por `.gitignore` y no debe subirse a GitHub.</w:t>
      </w:r>
    </w:p>
    <w:p>
      <w:pPr>
        <w:spacing w:after="120" w:line="276"/>
      </w:pPr>
    </w:p>
    <w:p>
      <w:pPr>
        <w:pStyle w:val="Heading2"/>
        <w:spacing w:after="130" w:before="280"/>
      </w:pPr>
      <w:r>
        <w:t xml:space="preserve">13.3 Comandos</w:t>
      </w:r>
    </w:p>
    <w:p>
      <w:pPr>
        <w:spacing w:after="120" w:line="276"/>
      </w:pP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npm install</w:t>
      </w: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npm run dev</w:t>
      </w:r>
    </w:p>
    <w:p>
      <w:pPr>
        <w:spacing w:after="120" w:line="276"/>
      </w:pPr>
    </w:p>
    <w:p>
      <w:pPr>
        <w:spacing w:after="120" w:line="276"/>
      </w:pPr>
      <w:r>
        <w:rPr>
          <w:b w:val="false"/>
          <w:bCs w:val="false"/>
        </w:rPr>
        <w:t xml:space="preserve">La aplicación queda disponible en `http://localhost:3000`.</w:t>
      </w:r>
    </w:p>
    <w:p>
      <w:pPr>
        <w:spacing w:after="120" w:line="276"/>
      </w:pPr>
    </w:p>
    <w:p>
      <w:pPr>
        <w:spacing w:after="120" w:line="276"/>
      </w:pPr>
      <w:r>
        <w:rPr>
          <w:b w:val="false"/>
          <w:bCs w:val="false"/>
        </w:rPr>
        <w:t xml:space="preserve">Para comprobaciones técnicas:</w:t>
      </w:r>
    </w:p>
    <w:p>
      <w:pPr>
        <w:spacing w:after="120" w:line="276"/>
      </w:pP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npm run lint</w:t>
      </w: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npm test</w:t>
      </w:r>
    </w:p>
    <w:p>
      <w:pPr>
        <w:spacing w:after="120" w:line="276"/>
      </w:pPr>
    </w:p>
    <w:p>
      <w:pPr>
        <w:spacing w:after="120" w:line="276"/>
      </w:pPr>
      <w:r>
        <w:rPr>
          <w:b w:val="false"/>
          <w:bCs w:val="false"/>
        </w:rPr>
        <w:t xml:space="preserve">`npm test` ejecuta el build de producción y las pruebas de flujo fuente.</w:t>
      </w:r>
    </w:p>
    <w:p>
      <w:pPr>
        <w:spacing w:after="120" w:line="276"/>
      </w:pPr>
    </w:p>
    <w:p>
      <w:pPr>
        <w:pStyle w:val="Heading1"/>
        <w:spacing w:after="130" w:before="280"/>
      </w:pPr>
      <w:r>
        <w:t xml:space="preserve">14. Despliegue recomendado</w:t>
      </w:r>
    </w:p>
    <w:p>
      <w:pPr>
        <w:spacing w:after="120" w:line="276"/>
      </w:pPr>
    </w:p>
    <w:p>
      <w:pPr>
        <w:spacing w:after="120" w:line="276"/>
      </w:pPr>
      <w:r>
        <w:rPr>
          <w:b w:val="false"/>
          <w:bCs w:val="false"/>
        </w:rPr>
        <w:t xml:space="preserve">La alternativa recomendada es Vercel conectado al repositorio de GitHub.</w:t>
      </w:r>
    </w:p>
    <w:p>
      <w:pPr>
        <w:spacing w:after="120" w:line="276"/>
      </w:pPr>
    </w:p>
    <w:p>
      <w:pPr>
        <w:spacing w:after="50" w:line="276"/>
        <w:ind w:left="360" w:hanging="180"/>
      </w:pPr>
      <w:r>
        <w:rPr>
          <w:b w:val="false"/>
          <w:bCs w:val="false"/>
        </w:rPr>
        <w:t xml:space="preserve">1. Importar el repositorio y seleccionar Next.js.</w:t>
      </w:r>
    </w:p>
    <w:p>
      <w:pPr>
        <w:spacing w:after="50" w:line="276"/>
        <w:ind w:left="360" w:hanging="180"/>
      </w:pPr>
      <w:r>
        <w:rPr>
          <w:b w:val="false"/>
          <w:bCs w:val="false"/>
        </w:rPr>
        <w:t xml:space="preserve">2. Usar `main` como rama de producción.</w:t>
      </w:r>
    </w:p>
    <w:p>
      <w:pPr>
        <w:spacing w:after="50" w:line="276"/>
        <w:ind w:left="360" w:hanging="180"/>
      </w:pPr>
      <w:r>
        <w:rPr>
          <w:b w:val="false"/>
          <w:bCs w:val="false"/>
        </w:rPr>
        <w:t xml:space="preserve">3. Configurar las variables de entorno de la sección 13.2 en los entornos Production, Preview y Development.</w:t>
      </w:r>
    </w:p>
    <w:p>
      <w:pPr>
        <w:spacing w:after="50" w:line="276"/>
        <w:ind w:left="360" w:hanging="180"/>
      </w:pPr>
      <w:r>
        <w:rPr>
          <w:b w:val="false"/>
          <w:bCs w:val="false"/>
        </w:rPr>
        <w:t xml:space="preserve">4. Desplegar y copiar la URL pública.</w:t>
      </w:r>
    </w:p>
    <w:p>
      <w:pPr>
        <w:spacing w:after="50" w:line="276"/>
        <w:ind w:left="360" w:hanging="180"/>
      </w:pPr>
      <w:r>
        <w:rPr>
          <w:b w:val="false"/>
          <w:bCs w:val="false"/>
        </w:rPr>
        <w:t xml:space="preserve">5. En Supabase, abrir </w:t>
      </w:r>
      <w:r>
        <w:rPr>
          <w:b/>
          <w:bCs/>
        </w:rPr>
        <w:t xml:space="preserve">Authentication → URL Configuration</w:t>
      </w:r>
      <w:r>
        <w:rPr>
          <w:b w:val="false"/>
          <w:bCs w:val="false"/>
        </w:rPr>
        <w:t xml:space="preserve"> y configurar:</w:t>
      </w:r>
    </w:p>
    <w:p>
      <w:pPr>
        <w:spacing w:after="120" w:line="276"/>
      </w:pP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Site URL: https://tu-proyecto.vercel.app</w:t>
      </w: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Redirect URL: https://tu-proyecto.vercel.app/mi-cuenta</w:t>
      </w:r>
    </w:p>
    <w:p>
      <w:pPr>
        <w:shd w:fill="F5F6FA"/>
        <w:spacing w:after="0" w:line="220"/>
        <w:ind w:left="180" w:right="180"/>
      </w:pPr>
      <w:r>
        <w:rPr>
          <w:rFonts w:ascii="Consolas" w:cs="Consolas" w:eastAsia="Consolas" w:hAnsi="Consolas"/>
          <w:b w:val="false"/>
          <w:bCs w:val="false"/>
          <w:color w:val="30394A"/>
          <w:sz w:val="17"/>
          <w:szCs w:val="17"/>
        </w:rPr>
        <w:t xml:space="preserve">Redirect URL local: http://localhost:3000/**</w:t>
      </w:r>
    </w:p>
    <w:p>
      <w:pPr>
        <w:spacing w:after="120" w:line="276"/>
      </w:pPr>
    </w:p>
    <w:p>
      <w:pPr>
        <w:spacing w:after="120" w:line="276"/>
      </w:pPr>
      <w:r>
        <w:rPr>
          <w:b w:val="false"/>
          <w:bCs w:val="false"/>
        </w:rPr>
        <w:t xml:space="preserve">La configuración de redirección es necesaria para que las confirmaciones de correo de prospectos vuelvan a la aplicación desplegada y no a `localhost`.</w:t>
      </w:r>
    </w:p>
    <w:p>
      <w:pPr>
        <w:spacing w:after="120" w:line="276"/>
      </w:pPr>
    </w:p>
    <w:p>
      <w:pPr>
        <w:pStyle w:val="Heading1"/>
        <w:spacing w:after="130" w:before="280"/>
      </w:pPr>
      <w:r>
        <w:t xml:space="preserve">15. Pruebas de aceptación para demo</w:t>
      </w:r>
    </w:p>
    <w:p>
      <w:pPr>
        <w:spacing w:after="120" w:line="276"/>
      </w:pPr>
    </w:p>
    <w:p>
      <w:pPr>
        <w:spacing w:after="120" w:line="276"/>
      </w:pPr>
      <w:r>
        <w:rPr>
          <w:b w:val="false"/>
          <w:bCs w:val="false"/>
        </w:rPr>
        <w:t xml:space="preserve">Antes de presentar, comprobar el recorrido completo:</w:t>
      </w:r>
    </w:p>
    <w:p>
      <w:pPr>
        <w:spacing w:after="120" w:line="276"/>
      </w:pPr>
    </w:p>
    <w:p>
      <w:pPr>
        <w:spacing w:after="50" w:line="276"/>
        <w:ind w:left="360" w:hanging="180"/>
      </w:pPr>
      <w:r>
        <w:rPr>
          <w:b w:val="false"/>
          <w:bCs w:val="false"/>
        </w:rPr>
        <w:t xml:space="preserve">1. Realizar una orientación B2C y verificar que se crea el lead y su conversación.</w:t>
      </w:r>
    </w:p>
    <w:p>
      <w:pPr>
        <w:spacing w:after="50" w:line="276"/>
        <w:ind w:left="360" w:hanging="180"/>
      </w:pPr>
      <w:r>
        <w:rPr>
          <w:b w:val="false"/>
          <w:bCs w:val="false"/>
        </w:rPr>
        <w:t xml:space="preserve">2. Realizar una orientación B2B y confirmar empresa, tamaño y rol de decisión en `leads`.</w:t>
      </w:r>
    </w:p>
    <w:p>
      <w:pPr>
        <w:spacing w:after="50" w:line="276"/>
        <w:ind w:left="360" w:hanging="180"/>
      </w:pPr>
      <w:r>
        <w:rPr>
          <w:b w:val="false"/>
          <w:bCs w:val="false"/>
        </w:rPr>
        <w:t xml:space="preserve">3. Entrar a Academy desde una orientación, terminar la ruta, responder el quiz y aceptar el consentimiento.</w:t>
      </w:r>
    </w:p>
    <w:p>
      <w:pPr>
        <w:spacing w:after="50" w:line="276"/>
        <w:ind w:left="360" w:hanging="180"/>
      </w:pPr>
      <w:r>
        <w:rPr>
          <w:b w:val="false"/>
          <w:bCs w:val="false"/>
        </w:rPr>
        <w:t xml:space="preserve">4. Repetir la acción educativa y rechazar o revocar el consentimiento para verificar que no queda interés activo.</w:t>
      </w:r>
    </w:p>
    <w:p>
      <w:pPr>
        <w:spacing w:after="50" w:line="276"/>
        <w:ind w:left="360" w:hanging="180"/>
      </w:pPr>
      <w:r>
        <w:rPr>
          <w:b w:val="false"/>
          <w:bCs w:val="false"/>
        </w:rPr>
        <w:t xml:space="preserve">5. Crear una cuenta de prospecto y confirmar que `/mi-cuenta` muestra su estado.</w:t>
      </w:r>
    </w:p>
    <w:p>
      <w:pPr>
        <w:spacing w:after="50" w:line="276"/>
        <w:ind w:left="360" w:hanging="180"/>
      </w:pPr>
      <w:r>
        <w:rPr>
          <w:b w:val="false"/>
          <w:bCs w:val="false"/>
        </w:rPr>
        <w:t xml:space="preserve">6. Iniciar sesión como ejecutivo y comprobar que solo aparecen sus leads asignados.</w:t>
      </w:r>
    </w:p>
    <w:p>
      <w:pPr>
        <w:spacing w:after="50" w:line="276"/>
        <w:ind w:left="360" w:hanging="180"/>
      </w:pPr>
      <w:r>
        <w:rPr>
          <w:b w:val="false"/>
          <w:bCs w:val="false"/>
        </w:rPr>
        <w:t xml:space="preserve">7. Cambiar el estado de un lead y aprobar, editar o rechazar una acción sugerida.</w:t>
      </w:r>
    </w:p>
    <w:p>
      <w:pPr>
        <w:spacing w:after="50" w:line="276"/>
        <w:ind w:left="360" w:hanging="180"/>
      </w:pPr>
      <w:r>
        <w:rPr>
          <w:b w:val="false"/>
          <w:bCs w:val="false"/>
        </w:rPr>
        <w:t xml:space="preserve">8. Iniciar sesión como administrador, reasignar un lead y modificar la configuración B2B.</w:t>
      </w:r>
    </w:p>
    <w:p>
      <w:pPr>
        <w:spacing w:after="50" w:line="276"/>
        <w:ind w:left="360" w:hanging="180"/>
      </w:pPr>
      <w:r>
        <w:rPr>
          <w:b w:val="false"/>
          <w:bCs w:val="false"/>
        </w:rPr>
        <w:t xml:space="preserve">9. Publicar una novedad y verificarla desde la cuenta del prospecto.</w:t>
      </w:r>
    </w:p>
    <w:p>
      <w:pPr>
        <w:spacing w:after="50" w:line="276"/>
        <w:ind w:left="360" w:hanging="180"/>
      </w:pPr>
      <w:r>
        <w:rPr>
          <w:b w:val="false"/>
          <w:bCs w:val="false"/>
        </w:rPr>
        <w:t xml:space="preserve">10. Ejecutar `npm run lint` y `npm test` antes de la entrega.</w:t>
      </w:r>
    </w:p>
    <w:p>
      <w:pPr>
        <w:spacing w:after="120" w:line="276"/>
      </w:pPr>
    </w:p>
    <w:p>
      <w:pPr>
        <w:pStyle w:val="Heading1"/>
        <w:spacing w:after="130" w:before="280"/>
      </w:pPr>
      <w:r>
        <w:t xml:space="preserve">16. Limitaciones conocidas y evolución</w:t>
      </w:r>
    </w:p>
    <w:p>
      <w:pPr>
        <w:spacing w:after="120" w:line="276"/>
      </w:pPr>
    </w:p>
    <w:tbl>
      <w:tblPr>
        <w:tblW w:type="pct" w:w="100%"/>
        <w:tblBorders>
          <w:top w:val="single" w:color="D9DDE5" w:sz="2"/>
          <w:left w:val="single" w:color="D9DDE5" w:sz="2"/>
          <w:bottom w:val="single" w:color="D9DDE5" w:sz="2"/>
          <w:right w:val="single" w:color="D9DDE5" w:sz="2"/>
          <w:insideH w:val="single" w:color="E7EAF0" w:sz="2"/>
          <w:insideV w:val="single" w:color="E7EAF0" w:sz="2"/>
        </w:tblBorders>
      </w:tblPr>
      <w:tblGrid>
        <w:gridCol w:w="100"/>
        <w:gridCol w:w="100"/>
        <w:gridCol w:w="100"/>
      </w:tblGrid>
      <w:tr>
        <w:tc>
          <w:tcPr>
            <w:shd w:fill="EEEAFE"/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Área</w:t>
            </w:r>
          </w:p>
        </w:tc>
        <w:tc>
          <w:tcPr>
            <w:shd w:fill="EEEAFE"/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Estado actual</w:t>
            </w:r>
          </w:p>
        </w:tc>
        <w:tc>
          <w:tcPr>
            <w:shd w:fill="EEEAFE"/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Evolución sugerida</w:t>
            </w:r>
          </w:p>
        </w:tc>
      </w:tr>
      <w:tr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Asignación inicial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Primer ejecutivo activo.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Reglas de carga, especialidad o territorio.</w:t>
            </w:r>
          </w:p>
        </w:tc>
      </w:tr>
      <w:tr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Acciones comerciales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Se registran como decisión interna.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Integración con correo y calendario tras aprobación.</w:t>
            </w:r>
          </w:p>
        </w:tc>
      </w:tr>
      <w:tr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Contenido Academy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Cuatro módulos locales aprobados.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Panel editorial, más módulos y versionado de fuentes.</w:t>
            </w:r>
          </w:p>
        </w:tc>
      </w:tr>
      <w:tr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Tutor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Recuperación simple basada en módulos autorizados.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Búsqueda semántica/RAG sobre documentos aprobados.</w:t>
            </w:r>
          </w:p>
        </w:tc>
      </w:tr>
      <w:tr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IA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Depende de Groq y de su cuota disponible.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Proveedor alternativo y manejo de cuotas.</w:t>
            </w:r>
          </w:p>
        </w:tc>
      </w:tr>
      <w:tr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Métricas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Métricas operativas del CRM.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Reportes por periodo, embudo y conversión.</w:t>
            </w:r>
          </w:p>
        </w:tc>
      </w:tr>
    </w:tbl>
    <w:p>
      <w:pPr>
        <w:spacing w:after="40" w:line="276"/>
      </w:pPr>
    </w:p>
    <w:p>
      <w:pPr>
        <w:spacing w:after="120" w:line="276"/>
      </w:pPr>
    </w:p>
    <w:p>
      <w:pPr>
        <w:pStyle w:val="Heading1"/>
        <w:spacing w:after="130" w:before="280"/>
      </w:pPr>
      <w:r>
        <w:t xml:space="preserve">17. Trazabilidad con los criterios del reto</w:t>
      </w:r>
    </w:p>
    <w:p>
      <w:pPr>
        <w:spacing w:after="120" w:line="276"/>
      </w:pPr>
    </w:p>
    <w:tbl>
      <w:tblPr>
        <w:tblW w:type="pct" w:w="100%"/>
        <w:tblBorders>
          <w:top w:val="single" w:color="D9DDE5" w:sz="2"/>
          <w:left w:val="single" w:color="D9DDE5" w:sz="2"/>
          <w:bottom w:val="single" w:color="D9DDE5" w:sz="2"/>
          <w:right w:val="single" w:color="D9DDE5" w:sz="2"/>
          <w:insideH w:val="single" w:color="E7EAF0" w:sz="2"/>
          <w:insideV w:val="single" w:color="E7EAF0" w:sz="2"/>
        </w:tblBorders>
      </w:tblPr>
      <w:tblGrid>
        <w:gridCol w:w="100"/>
        <w:gridCol w:w="100"/>
      </w:tblGrid>
      <w:tr>
        <w:tc>
          <w:tcPr>
            <w:shd w:fill="EEEAFE"/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Criterio</w:t>
            </w:r>
          </w:p>
        </w:tc>
        <w:tc>
          <w:tcPr>
            <w:shd w:fill="EEEAFE"/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Implementación</w:t>
            </w:r>
          </w:p>
        </w:tc>
      </w:tr>
      <w:tr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Identificar B2B/B2C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Etapa explícita del chat y campos estructurados B2B.</w:t>
            </w:r>
          </w:p>
        </w:tc>
      </w:tr>
      <w:tr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Calificar prospectos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Puntaje 0–100 con explicación y umbrales configurables.</w:t>
            </w:r>
          </w:p>
        </w:tc>
      </w:tr>
      <w:tr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Conservar contexto comercial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`leads`, `conversations`, resumen y asignación.</w:t>
            </w:r>
          </w:p>
        </w:tc>
      </w:tr>
      <w:tr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Tutor con fuentes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Módulos aprobados, fuente visible y límite de cobertura.</w:t>
            </w:r>
          </w:p>
        </w:tc>
      </w:tr>
      <w:tr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Ruta educativa y quiz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Academy guiada, quiz final y resultado.</w:t>
            </w:r>
          </w:p>
        </w:tc>
      </w:tr>
      <w:tr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Consentimiento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Registro explícito en `learning_interests` y revocación.</w:t>
            </w:r>
          </w:p>
        </w:tc>
      </w:tr>
      <w:tr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CRM para ejecutivos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Dashboard, estados, métricas e historial.</w:t>
            </w:r>
          </w:p>
        </w:tc>
      </w:tr>
      <w:tr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Supervisión humana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Aprobar, editar o rechazar acciones sugeridas.</w:t>
            </w:r>
          </w:p>
        </w:tc>
      </w:tr>
      <w:tr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Integración de punta a punta</w:t>
            </w:r>
          </w:p>
        </w:tc>
        <w:tc>
          <w:p>
            <w:pPr>
              <w:spacing w:after="60" w:before="6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Prospecto → Academy → CRM → actualización al prospecto.</w:t>
            </w:r>
          </w:p>
        </w:tc>
      </w:tr>
    </w:tbl>
    <w:p>
      <w:pPr>
        <w:spacing w:after="40" w:line="276"/>
      </w:pPr>
    </w:p>
    <w:p>
      <w:pPr>
        <w:spacing w:after="120" w:line="276"/>
      </w:pPr>
    </w:p>
    <w:p>
      <w:pPr>
        <w:spacing w:after="80" w:line="276"/>
      </w:pPr>
    </w:p>
    <w:p>
      <w:pPr>
        <w:spacing w:after="120" w:line="276"/>
      </w:pPr>
    </w:p>
    <w:p>
      <w:pPr>
        <w:spacing w:after="120" w:line="276"/>
      </w:pPr>
      <w:r>
        <w:rPr>
          <w:b w:val="false"/>
          <w:bCs w:val="false"/>
        </w:rPr>
        <w:t xml:space="preserve">Este documento describe el comportamiento implementado del MVP. Cualquier integración externa nueva debe conservar los principios de consentimiento, acceso por rol, contenido educativo aprobado y aprobación humana previa a comunicaciones comerciales.</w:t>
      </w:r>
    </w:p>
    <w:p>
      <w:pPr>
        <w:spacing w:after="120" w:line="276"/>
      </w:pPr>
    </w:p>
    <w:sectPr>
      <w:footerReference w:type="default" r:id="rId7"/>
      <w:pgSz w:w="11906" w:h="16838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8196"/>
        <w:sz w:val="16"/>
        <w:szCs w:val="16"/>
      </w:rPr>
      <w:t xml:space="preserve">Nexo Futuro AI · Documento técnico · Página </w:t>
    </w:r>
    <w:r>
      <w:rPr>
        <w:color w:val="7781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Nexo Futuro AI — Documento técnico</dc:title>
  <dc:creator>Equipo Nexo Futuro AI</dc:creator>
  <dc:description>Arquitectura, operación y despliegue del MVP</dc:description>
  <cp:lastModifiedBy>Un-named</cp:lastModifiedBy>
  <cp:revision>1</cp:revision>
  <dcterms:created xsi:type="dcterms:W3CDTF">2026-07-13T03:00:34.379Z</dcterms:created>
  <dcterms:modified xsi:type="dcterms:W3CDTF">2026-07-13T03:00:34.381Z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