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The Columbian deal will be for 2 new venture wildcat wells, one each in the Llanos &amp; Magdalena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Basins.  These wells include a carry of thirty percent for the national oil company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and will test at least 3 K meters of vertical section.  In return, the client will be permitted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to drill ten wells in the productive Putumayo province, earning a sixty % interest with a fifty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percent royalty rate, increasing to the standard eighty five percent royalty five years </w:t>
      </w:r>
    </w:p>
    <w:p>
      <w:pPr>
        <w:spacing w:before="0" w:after="0"/>
      </w:pPr>
      <w:r>
        <w:rPr>
          <w:color w:val="FFFFFF"/>
        </w:rPr>
        <w:t>after start of production in each well.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