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Signal Score v2 — Consolidated Open Items</w:t>
      </w:r>
    </w:p>
    <w:p>
      <w:pPr>
        <w:spacing w:after="80"/>
      </w:pPr>
      <w:r>
        <w:rPr>
          <w:rFonts w:ascii="Source Sans 3" w:hAnsi="Source Sans 3"/>
          <w:b w:val="0"/>
          <w:i w:val="0"/>
          <w:color w:val="7A6A56"/>
          <w:sz w:val="20"/>
        </w:rPr>
        <w:t>Prepared for Andrew Segars  |  April 3, 2026</w:t>
      </w:r>
    </w:p>
    <w:p>
      <w:pPr>
        <w:spacing w:after="240"/>
      </w:pPr>
      <w:r>
        <w:rPr>
          <w:rFonts w:ascii="Source Sans 3" w:hAnsi="Source Sans 3"/>
        </w:rPr>
        <w:t>This document consolidates all open specification items blocking the scoring engine build. It includes Andrew’s five items from the v2 architecture document plus five additional items identified during the build review. Items are grouped by priority.</w:t>
      </w:r>
    </w:p>
    <w:p>
      <w:pPr>
        <w:spacing w:after="240"/>
      </w:pPr>
      <w:r>
        <w:rPr>
          <w:rFonts w:ascii="Source Sans 3" w:hAnsi="Source Sans 3"/>
          <w:b/>
          <w:i w:val="0"/>
        </w:rPr>
        <w:t xml:space="preserve">Architecture context: </w:t>
      </w:r>
      <w:r>
        <w:rPr>
          <w:rFonts w:ascii="Source Sans 3" w:hAnsi="Source Sans 3"/>
          <w:b w:val="0"/>
          <w:i w:val="0"/>
        </w:rPr>
        <w:t>The v2 architecture defines 4 scored dimensions (Profile Signal Clarity 35%, Behavioral Signal Strength 30%, Behavioral Signal Quality 20%, Profile-Behavior Alignment 15%). Reach, Resonance, and Authority move to the Forward Brief as advisory context—computed and displayed but not scored. Signal strength bands (Weak / Emerging / Moderate / Strong / Exceptional) replace raw numeric output.</w:t>
      </w:r>
    </w:p>
    <w:p>
      <w:pPr>
        <w:pStyle w:val="Heading2"/>
      </w:pPr>
      <w:r>
        <w:t>Andrew’s Open Items (from v2 Architecture Document)</w:t>
      </w:r>
    </w:p>
    <w:p>
      <w:pPr>
        <w:pStyle w:val="Heading3"/>
      </w:pPr>
      <w:r>
        <w:t>1. Quantitative scoring breakpoints for Dimension 2</w:t>
      </w:r>
    </w:p>
    <w:p>
      <w:pPr>
        <w:spacing w:after="40"/>
      </w:pPr>
      <w:r>
        <w:rPr>
          <w:rFonts w:ascii="Source Sans 3" w:hAnsi="Source Sans 3"/>
          <w:b/>
        </w:rPr>
        <w:t>Dimension: Behavioral Signal Strength (30%)</w:t>
      </w:r>
    </w:p>
    <w:p>
      <w:pPr>
        <w:spacing w:after="80"/>
      </w:pPr>
      <w:r>
        <w:rPr>
          <w:rFonts w:ascii="Source Sans 3" w:hAnsi="Source Sans 3"/>
        </w:rPr>
        <w:t>The sub-dimensions are defined and the anchors are established: &lt;10 historical actions = sparse disadvantage (Feed SR), 60-day half-life on recency weighting, 1 post/week as a confirmed benchmark. What is not yet decided is how those translate into 0–5 scores. Each sub-dimension needs threshold bands.</w:t>
      </w:r>
    </w:p>
    <w:tbl>
      <w:tblPr>
        <w:tblW w:type="auto" w:w="0"/>
        <w:jc w:val="left"/>
        <w:tblLayout w:type="fixed"/>
        <w:tblLook w:firstColumn="1" w:firstRow="1" w:lastColumn="0" w:lastRow="0" w:noHBand="0" w:noVBand="1" w:val="04A0"/>
      </w:tblPr>
      <w:tblGrid>
        <w:gridCol w:w="3120"/>
        <w:gridCol w:w="3120"/>
        <w:gridCol w:w="3120"/>
      </w:tblGrid>
      <w:tr>
        <w:tc>
          <w:tcPr>
            <w:tcW w:type="dxa" w:w="2016"/>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Sub-dimension</w:t>
            </w:r>
          </w:p>
        </w:tc>
        <w:tc>
          <w:tcPr>
            <w:tcW w:type="dxa" w:w="259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Anchor</w:t>
            </w:r>
          </w:p>
        </w:tc>
        <w:tc>
          <w:tcPr>
            <w:tcW w:type="dxa" w:w="475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What’s Needed</w:t>
            </w:r>
          </w:p>
        </w:tc>
      </w:tr>
      <w:tr>
        <w:tc>
          <w:tcPr>
            <w:tcW w:type="dxa" w:w="201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History depth</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&lt;10 actions = sparse (Feed SR)</w:t>
            </w:r>
          </w:p>
        </w:tc>
        <w:tc>
          <w:tcPr>
            <w:tcW w:type="dxa" w:w="47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0–5 bands: how many total outbound actions map to each score?</w:t>
            </w:r>
          </w:p>
        </w:tc>
      </w:tr>
      <w:tr>
        <w:tc>
          <w:tcPr>
            <w:tcW w:type="dxa" w:w="201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Recency</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60-day half-life (Feed SR)</w:t>
            </w:r>
          </w:p>
        </w:tc>
        <w:tc>
          <w:tcPr>
            <w:tcW w:type="dxa" w:w="47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0–5 bands: what distribution of recent vs. older activity maps to each score?</w:t>
            </w:r>
          </w:p>
        </w:tc>
      </w:tr>
      <w:tr>
        <w:tc>
          <w:tcPr>
            <w:tcW w:type="dxa" w:w="201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Continuity</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Sustained &gt; bursty</w:t>
            </w:r>
          </w:p>
        </w:tc>
        <w:tc>
          <w:tcPr>
            <w:tcW w:type="dxa" w:w="47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0–5 bands: active weeks %, longest gap, variance—pick metric and set thresholds</w:t>
            </w:r>
          </w:p>
        </w:tc>
      </w:tr>
      <w:tr>
        <w:tc>
          <w:tcPr>
            <w:tcW w:type="dxa" w:w="201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Posting presence</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1 post/week benchmark</w:t>
            </w:r>
          </w:p>
        </w:tc>
        <w:tc>
          <w:tcPr>
            <w:tcW w:type="dxa" w:w="47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0–5 bands: posts per week ranges for each score</w:t>
            </w:r>
          </w:p>
        </w:tc>
      </w:tr>
    </w:tbl>
    <w:p/>
    <w:p>
      <w:pPr>
        <w:pStyle w:val="Heading3"/>
      </w:pPr>
      <w:r>
        <w:t>2. Viewer-actor affinity resolution for Dimension 3</w:t>
      </w:r>
    </w:p>
    <w:p>
      <w:pPr>
        <w:spacing w:after="40"/>
      </w:pPr>
      <w:r>
        <w:rPr>
          <w:rFonts w:ascii="Source Sans 3" w:hAnsi="Source Sans 3"/>
          <w:b/>
        </w:rPr>
        <w:t>Dimension: Behavioral Signal Quality (20%)</w:t>
      </w:r>
    </w:p>
    <w:p>
      <w:pPr>
        <w:spacing w:after="80"/>
      </w:pPr>
      <w:r>
        <w:rPr>
          <w:rFonts w:ascii="Source Sans 3" w:hAnsi="Source Sans 3"/>
        </w:rPr>
        <w:t>Feed SR confirms repeated engagement with the same people is a distinct ranked signal (removing affinity costs 0.3% Long Dwell AUC). But the LinkedIn archive records that the member engaged—not with whom in a structured way. Comment content and reaction target URLs are present, but mapping them to unique people requires inference.</w:t>
      </w:r>
    </w:p>
    <w:p>
      <w:pPr>
        <w:spacing w:after="40"/>
      </w:pPr>
      <w:r>
        <w:rPr>
          <w:rFonts w:ascii="Source Sans 3" w:hAnsi="Source Sans 3"/>
          <w:b/>
        </w:rPr>
        <w:t>Three options:</w:t>
      </w:r>
    </w:p>
    <w:tbl>
      <w:tblPr>
        <w:tblW w:type="auto" w:w="0"/>
        <w:jc w:val="left"/>
        <w:tblLayout w:type="fixed"/>
        <w:tblLook w:firstColumn="1" w:firstRow="1" w:lastColumn="0" w:lastRow="0" w:noHBand="0" w:noVBand="1" w:val="04A0"/>
      </w:tblPr>
      <w:tblGrid>
        <w:gridCol w:w="3120"/>
        <w:gridCol w:w="3120"/>
        <w:gridCol w:w="3120"/>
      </w:tblGrid>
      <w:tr>
        <w:tc>
          <w:tcPr>
            <w:tcW w:type="dxa" w:w="2016"/>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Option</w:t>
            </w:r>
          </w:p>
        </w:tc>
        <w:tc>
          <w:tcPr>
            <w:tcW w:type="dxa" w:w="403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Description</w:t>
            </w:r>
          </w:p>
        </w:tc>
        <w:tc>
          <w:tcPr>
            <w:tcW w:type="dxa" w:w="331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Tradeoff</w:t>
            </w:r>
          </w:p>
        </w:tc>
      </w:tr>
      <w:tr>
        <w:tc>
          <w:tcPr>
            <w:tcW w:type="dxa" w:w="201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A. Score qualitatively</w:t>
            </w:r>
          </w:p>
        </w:tc>
        <w:tc>
          <w:tcPr>
            <w:tcW w:type="dxa" w:w="403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Rubric-scored from comment content patterns (topic clustering, repeated targets)</w:t>
            </w:r>
          </w:p>
        </w:tc>
        <w:tc>
          <w:tcPr>
            <w:tcW w:type="dxa" w:w="331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Rich signal but requires inference; less deterministic</w:t>
            </w:r>
          </w:p>
        </w:tc>
      </w:tr>
      <w:tr>
        <w:tc>
          <w:tcPr>
            <w:tcW w:type="dxa" w:w="201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B. Advisory only</w:t>
            </w:r>
          </w:p>
        </w:tc>
        <w:tc>
          <w:tcPr>
            <w:tcW w:type="dxa" w:w="403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Compute what we can, surface in Forward Brief, don’t score</w:t>
            </w:r>
          </w:p>
        </w:tc>
        <w:tc>
          <w:tcPr>
            <w:tcW w:type="dxa" w:w="331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Clean separation; loses a confirmed ranking signal from the score</w:t>
            </w:r>
          </w:p>
        </w:tc>
      </w:tr>
      <w:tr>
        <w:tc>
          <w:tcPr>
            <w:tcW w:type="dxa" w:w="201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C. Manual review</w:t>
            </w:r>
          </w:p>
        </w:tc>
        <w:tc>
          <w:tcPr>
            <w:tcW w:type="dxa" w:w="403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Hold as advisor-reviewed element in white-glove stream</w:t>
            </w:r>
          </w:p>
        </w:tc>
        <w:tc>
          <w:tcPr>
            <w:tcW w:type="dxa" w:w="331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Honest about data limits; not available in self-serve</w:t>
            </w:r>
          </w:p>
        </w:tc>
      </w:tr>
    </w:tbl>
    <w:p>
      <w:pPr>
        <w:spacing w:after="160"/>
      </w:pPr>
      <w:r>
        <w:rPr>
          <w:rFonts w:ascii="Source Sans 3" w:hAnsi="Source Sans 3"/>
          <w:i/>
        </w:rPr>
        <w:br/>
        <w:t>Recommendation from build team: Option B is cleanest for launch. Can revisit for v2 if comment parsing proves reliable.</w:t>
      </w:r>
    </w:p>
    <w:p>
      <w:pPr>
        <w:pStyle w:val="Heading3"/>
      </w:pPr>
      <w:r>
        <w:t>3. Rubrics for Dimensions 3 and 4</w:t>
      </w:r>
    </w:p>
    <w:p>
      <w:pPr>
        <w:spacing w:after="80"/>
      </w:pPr>
      <w:r>
        <w:rPr>
          <w:rFonts w:ascii="Source Sans 3" w:hAnsi="Source Sans 3"/>
        </w:rPr>
        <w:t>Both dimensions need written rubrics matching the Dimension 1 structure: explicit 1–5 criteria with written definitions for each score point. Observable conditions only, no inference.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04"/>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Dimension</w:t>
            </w:r>
          </w:p>
        </w:tc>
        <w:tc>
          <w:tcPr>
            <w:tcW w:type="dxa" w:w="259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Sub-dimension</w:t>
            </w:r>
          </w:p>
        </w:tc>
        <w:tc>
          <w:tcPr>
            <w:tcW w:type="dxa" w:w="2304"/>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Rubric Type</w:t>
            </w:r>
          </w:p>
        </w:tc>
        <w:tc>
          <w:tcPr>
            <w:tcW w:type="dxa" w:w="2160"/>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Status</w:t>
            </w:r>
          </w:p>
        </w:tc>
      </w:tr>
      <w:tr>
        <w:tc>
          <w:tcPr>
            <w:tcW w:type="dxa" w:w="2304"/>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3. Behavioral Signal Quality</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Engagement quality ratio</w:t>
            </w:r>
          </w:p>
        </w:tc>
        <w:tc>
          <w:tcPr>
            <w:tcW w:type="dxa" w:w="2304"/>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Quantitative (may not need rubric—breakpoints instead)</w:t>
            </w:r>
          </w:p>
        </w:tc>
        <w:tc>
          <w:tcPr>
            <w:tcW w:type="dxa" w:w="2160"/>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Breakpoints needed</w:t>
            </w:r>
          </w:p>
        </w:tc>
      </w:tr>
      <w:tr>
        <w:tc>
          <w:tcPr>
            <w:tcW w:type="dxa" w:w="2304"/>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3. Behavioral Signal Quality</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Outbound engagement presence</w:t>
            </w:r>
          </w:p>
        </w:tc>
        <w:tc>
          <w:tcPr>
            <w:tcW w:type="dxa" w:w="2304"/>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Could be quantitative threshold or rubric</w:t>
            </w:r>
          </w:p>
        </w:tc>
        <w:tc>
          <w:tcPr>
            <w:tcW w:type="dxa" w:w="2160"/>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Scoring method TBD</w:t>
            </w:r>
          </w:p>
        </w:tc>
      </w:tr>
      <w:tr>
        <w:tc>
          <w:tcPr>
            <w:tcW w:type="dxa" w:w="2304"/>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3. Behavioral Signal Quality</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Viewer-actor affinity</w:t>
            </w:r>
          </w:p>
        </w:tc>
        <w:tc>
          <w:tcPr>
            <w:tcW w:type="dxa" w:w="2304"/>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Depends on Item 2 resolution</w:t>
            </w:r>
          </w:p>
        </w:tc>
        <w:tc>
          <w:tcPr>
            <w:tcW w:type="dxa" w:w="2160"/>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Blocked</w:t>
            </w:r>
          </w:p>
        </w:tc>
      </w:tr>
      <w:tr>
        <w:tc>
          <w:tcPr>
            <w:tcW w:type="dxa" w:w="2304"/>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4. Profile-Behavior Alignment</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Topic consistency</w:t>
            </w:r>
          </w:p>
        </w:tc>
        <w:tc>
          <w:tcPr>
            <w:tcW w:type="dxa" w:w="2304"/>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Qualitative rubric (1–5)</w:t>
            </w:r>
          </w:p>
        </w:tc>
        <w:tc>
          <w:tcPr>
            <w:tcW w:type="dxa" w:w="2160"/>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Rubric needed</w:t>
            </w:r>
          </w:p>
        </w:tc>
      </w:tr>
      <w:tr>
        <w:tc>
          <w:tcPr>
            <w:tcW w:type="dxa" w:w="2304"/>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4. Profile-Behavior Alignment</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Profile-content coherence</w:t>
            </w:r>
          </w:p>
        </w:tc>
        <w:tc>
          <w:tcPr>
            <w:tcW w:type="dxa" w:w="2304"/>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Qualitative rubric (1–5)</w:t>
            </w:r>
          </w:p>
        </w:tc>
        <w:tc>
          <w:tcPr>
            <w:tcW w:type="dxa" w:w="2160"/>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Rubric needed</w:t>
            </w:r>
          </w:p>
        </w:tc>
      </w:tr>
    </w:tbl>
    <w:p>
      <w:pPr>
        <w:spacing w:after="160"/>
      </w:pPr>
      <w:r>
        <w:rPr>
          <w:rFonts w:ascii="Source Sans 3" w:hAnsi="Source Sans 3"/>
          <w:i/>
        </w:rPr>
        <w:br/>
        <w:t>Note: Five Dimension 1 rubrics are complete and carry over (Headline Clarity, About Clarity, Experience Section Clarity, Identity Clarity, Profile-Content Alignment).</w:t>
      </w:r>
    </w:p>
    <w:p>
      <w:pPr>
        <w:pStyle w:val="Heading3"/>
      </w:pPr>
      <w:r>
        <w:t>4. Formal lock on dimension weighting</w:t>
      </w:r>
    </w:p>
    <w:p>
      <w:pPr>
        <w:spacing w:after="80"/>
      </w:pPr>
      <w:r>
        <w:rPr>
          <w:rFonts w:ascii="Source Sans 3" w:hAnsi="Source Sans 3"/>
        </w:rPr>
        <w:t>Proposed weighting: Profile Signal Clarity 35%, Behavioral Signal Strength 30%, Behavioral Signal Quality 20%, Profile-Behavior Alignment 15%. Well-grounded in cold-start literature across three papers. Needs to be a confirmed decision before the build begins.</w:t>
      </w:r>
    </w:p>
    <w:p>
      <w:pPr>
        <w:spacing w:after="160"/>
      </w:pPr>
      <w:r>
        <w:rPr>
          <w:rFonts w:ascii="Source Sans 3" w:hAnsi="Source Sans 3"/>
          <w:b/>
        </w:rPr>
        <w:t>Action: Confirm or adjust the 35/30/20/15 split.</w:t>
      </w:r>
    </w:p>
    <w:p>
      <w:pPr>
        <w:pStyle w:val="Heading3"/>
      </w:pPr>
      <w:r>
        <w:t>5. Composite score output format</w:t>
      </w:r>
    </w:p>
    <w:p>
      <w:pPr>
        <w:spacing w:after="80"/>
      </w:pPr>
      <w:r>
        <w:rPr>
          <w:rFonts w:ascii="Source Sans 3" w:hAnsi="Source Sans 3"/>
        </w:rPr>
        <w:t>Partially resolved. Josh and Andrew agreed on signal strength bands as the primary client-facing output (Weak / Emerging / Moderate / Strong / Exceptional) with the numeric score available to advisors.</w:t>
      </w:r>
    </w:p>
    <w:p>
      <w:pPr>
        <w:spacing w:after="40"/>
      </w:pPr>
      <w:r>
        <w:rPr>
          <w:rFonts w:ascii="Source Sans 3" w:hAnsi="Source Sans 3"/>
          <w:b/>
        </w:rPr>
        <w:t>Remaining sub-items:</w:t>
      </w:r>
    </w:p>
    <w:tbl>
      <w:tblPr>
        <w:tblW w:type="auto" w:w="0"/>
        <w:jc w:val="left"/>
        <w:tblLayout w:type="fixed"/>
        <w:tblLook w:firstColumn="1" w:firstRow="1" w:lastColumn="0" w:lastRow="0" w:noHBand="0" w:noVBand="1" w:val="04A0"/>
      </w:tblPr>
      <w:tblGrid>
        <w:gridCol w:w="3120"/>
        <w:gridCol w:w="3120"/>
        <w:gridCol w:w="3120"/>
      </w:tblGrid>
      <w:tr>
        <w:tc>
          <w:tcPr>
            <w:tcW w:type="dxa" w:w="259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Item</w:t>
            </w:r>
          </w:p>
        </w:tc>
        <w:tc>
          <w:tcPr>
            <w:tcW w:type="dxa" w:w="1440"/>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Status</w:t>
            </w:r>
          </w:p>
        </w:tc>
        <w:tc>
          <w:tcPr>
            <w:tcW w:type="dxa" w:w="5328"/>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What’s Needed</w:t>
            </w:r>
          </w:p>
        </w:tc>
      </w:tr>
      <w:tr>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Band labels</w:t>
            </w:r>
          </w:p>
        </w:tc>
        <w:tc>
          <w:tcPr>
            <w:tcW w:type="dxa" w:w="1440"/>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Decided</w:t>
            </w:r>
          </w:p>
        </w:tc>
        <w:tc>
          <w:tcPr>
            <w:tcW w:type="dxa" w:w="532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Weak / Emerging / Moderate / Strong / Exceptional</w:t>
            </w:r>
          </w:p>
        </w:tc>
      </w:tr>
      <w:tr>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Band percentage breakpoints</w:t>
            </w:r>
          </w:p>
        </w:tc>
        <w:tc>
          <w:tcPr>
            <w:tcW w:type="dxa" w:w="1440"/>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Open</w:t>
            </w:r>
          </w:p>
        </w:tc>
        <w:tc>
          <w:tcPr>
            <w:tcW w:type="dxa" w:w="532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What percentage of total score maps to each band?</w:t>
            </w:r>
          </w:p>
        </w:tc>
      </w:tr>
      <w:tr>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Sub-dimension display</w:t>
            </w:r>
          </w:p>
        </w:tc>
        <w:tc>
          <w:tcPr>
            <w:tcW w:type="dxa" w:w="1440"/>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Open</w:t>
            </w:r>
          </w:p>
        </w:tc>
        <w:tc>
          <w:tcPr>
            <w:tcW w:type="dxa" w:w="532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How do individual sub-dimension scores surface in the report?</w:t>
            </w:r>
          </w:p>
        </w:tc>
      </w:tr>
      <w:tr>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Advisor vs. client view</w:t>
            </w:r>
          </w:p>
        </w:tc>
        <w:tc>
          <w:tcPr>
            <w:tcW w:type="dxa" w:w="1440"/>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Decided</w:t>
            </w:r>
          </w:p>
        </w:tc>
        <w:tc>
          <w:tcPr>
            <w:tcW w:type="dxa" w:w="532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Advisors see numeric scores; clients see bands</w:t>
            </w:r>
          </w:p>
        </w:tc>
      </w:tr>
    </w:tbl>
    <w:p/>
    <w:p>
      <w:pPr>
        <w:pStyle w:val="Heading2"/>
      </w:pPr>
      <w:r>
        <w:t>Additional Items Identified in Build Review</w:t>
      </w:r>
    </w:p>
    <w:p>
      <w:pPr>
        <w:spacing w:after="160"/>
      </w:pPr>
      <w:r>
        <w:rPr>
          <w:rFonts w:ascii="Source Sans 3" w:hAnsi="Source Sans 3"/>
        </w:rPr>
        <w:t>The following items were identified during the build impact analysis. They are not in Andrew’s v2 document but are needed before or during implementation.</w:t>
      </w:r>
    </w:p>
    <w:p>
      <w:pPr>
        <w:pStyle w:val="Heading3"/>
      </w:pPr>
      <w:r>
        <w:t>6. Visual Professionalism — confirm dropped or place in Dimension 1</w:t>
      </w:r>
    </w:p>
    <w:p>
      <w:pPr>
        <w:spacing w:after="80"/>
      </w:pPr>
      <w:r>
        <w:rPr>
          <w:rFonts w:ascii="Source Sans 3" w:hAnsi="Source Sans 3"/>
        </w:rPr>
        <w:t>The v1 architecture included Visual Professionalism (profile photo / banner image recency scored from Rich_Media.csv) as a sub-dimension of Presence. The v2 document does not mention it. Dimension 1 includes “Profile completeness — are the named fields populated?” which could absorb this as a structural check, or it could be dropped entirely.</w:t>
      </w:r>
    </w:p>
    <w:p>
      <w:pPr>
        <w:spacing w:after="160"/>
      </w:pPr>
      <w:r>
        <w:rPr>
          <w:rFonts w:ascii="Source Sans 3" w:hAnsi="Source Sans 3"/>
          <w:b/>
        </w:rPr>
        <w:t>Action: Confirm whether Visual Professionalism is (a) absorbed into Profile completeness, (b) a separate Dimension 1 sub-dimension, or (c) dropped from scoring.</w:t>
      </w:r>
    </w:p>
    <w:p>
      <w:pPr>
        <w:pStyle w:val="Heading3"/>
      </w:pPr>
      <w:r>
        <w:t>7. Sub-dimension combination formula</w:t>
      </w:r>
    </w:p>
    <w:p>
      <w:pPr>
        <w:spacing w:after="80"/>
      </w:pPr>
      <w:r>
        <w:rPr>
          <w:rFonts w:ascii="Source Sans 3" w:hAnsi="Source Sans 3"/>
        </w:rPr>
        <w:t>The v2 architecture defines dimension weights (35/30/20/15) but not how sub-dimensions combine within a dimension. Dimensions mix scoring methods: Dimension 1 has rubrics (1–5) plus a structural check; Dimension 2 has quantitative thresholds; Dimension 3 has a ratio plus potential rubric. The scoring engine needs a rule for rolling sub-dimension scores up into the dimension’s percentage.</w:t>
      </w:r>
    </w:p>
    <w:p>
      <w:pPr>
        <w:spacing w:after="80"/>
      </w:pPr>
      <w:r>
        <w:rPr>
          <w:rFonts w:ascii="Source Sans 3" w:hAnsi="Source Sans 3"/>
        </w:rPr>
        <w:t>The v1 architecture used: Score ÷ Scale Maximum × Sub-dimension Point Maximum = Dimension Points. A similar formula is needed for v2, or an explicit decision that all sub-dimensions within a dimension are equally weighted.</w:t>
      </w:r>
    </w:p>
    <w:p>
      <w:pPr>
        <w:spacing w:after="160"/>
      </w:pPr>
      <w:r>
        <w:rPr>
          <w:rFonts w:ascii="Source Sans 3" w:hAnsi="Source Sans 3"/>
          <w:b/>
        </w:rPr>
        <w:t>Action: Define how rubric scores (1–5), quantitative scores (0–5), and structural checks combine within a dimension to produce the dimension’s 0–100% score.</w:t>
      </w:r>
    </w:p>
    <w:p>
      <w:pPr>
        <w:pStyle w:val="Heading3"/>
      </w:pPr>
      <w:r>
        <w:t>8. Forward Brief data contract</w:t>
      </w:r>
    </w:p>
    <w:p>
      <w:pPr>
        <w:spacing w:after="80"/>
      </w:pPr>
      <w:r>
        <w:rPr>
          <w:rFonts w:ascii="Source Sans 3" w:hAnsi="Source Sans 3"/>
        </w:rPr>
        <w:t>The Forward Brief now carries Reach, Resonance, Authority, and Engagement Invitation — all computed from XLSX analytics data. This data needs to flow from ingestion to narrative generation without going through the scoring engine. Two questions:</w:t>
      </w:r>
    </w:p>
    <w:p>
      <w:pPr>
        <w:spacing w:after="80"/>
      </w:pPr>
      <w:r>
        <w:rPr>
          <w:rFonts w:ascii="Source Sans 3" w:hAnsi="Source Sans 3"/>
          <w:b/>
          <w:i w:val="0"/>
        </w:rPr>
        <w:t xml:space="preserve">Pipeline routing: </w:t>
      </w:r>
      <w:r>
        <w:rPr>
          <w:rFonts w:ascii="Source Sans 3" w:hAnsi="Source Sans 3"/>
          <w:b w:val="0"/>
          <w:i w:val="0"/>
        </w:rPr>
        <w:t>Does the scoring stage compute and pass through unscored Forward Brief metrics alongside scored dimensions? Or does the narrative generation stage receive raw ingested data and structure it directly? This affects the pipeline interface between stages.</w:t>
      </w:r>
    </w:p>
    <w:p>
      <w:pPr>
        <w:spacing w:after="80"/>
      </w:pPr>
      <w:r>
        <w:rPr>
          <w:rFonts w:ascii="Source Sans 3" w:hAnsi="Source Sans 3"/>
          <w:b/>
          <w:i w:val="0"/>
        </w:rPr>
        <w:t xml:space="preserve">Structured vs. freeform: </w:t>
      </w:r>
      <w:r>
        <w:rPr>
          <w:rFonts w:ascii="Source Sans 3" w:hAnsi="Source Sans 3"/>
          <w:b w:val="0"/>
          <w:i w:val="0"/>
        </w:rPr>
        <w:t>Should the Forward Brief metrics be structured (defined fields, computed values, thresholds) or passed as context for Claude to interpret? Structured is more reproducible; freeform gives the narrative more flexibility.</w:t>
      </w:r>
    </w:p>
    <w:p>
      <w:pPr>
        <w:spacing w:after="160"/>
      </w:pPr>
      <w:r>
        <w:rPr>
          <w:rFonts w:ascii="Source Sans 3" w:hAnsi="Source Sans 3"/>
          <w:b/>
        </w:rPr>
        <w:t>Action: Define where unscored analytics data is structured in the pipeline and what shape it takes when passed to narrative generation.</w:t>
      </w:r>
    </w:p>
    <w:p>
      <w:pPr>
        <w:pStyle w:val="Heading3"/>
      </w:pPr>
      <w:r>
        <w:t>9. History depth proxy definition</w:t>
      </w:r>
    </w:p>
    <w:p>
      <w:pPr>
        <w:spacing w:after="80"/>
      </w:pPr>
      <w:r>
        <w:rPr>
          <w:rFonts w:ascii="Source Sans 3" w:hAnsi="Source Sans 3"/>
        </w:rPr>
        <w:t>Dimension 2 references Feed SR’s “&lt;10 historical actions = sparse disadvantage” threshold. But “historical actions” in Feed SR means all engagement the ranking system has observed—not just what’s in the data export. We can count outbound actions from Comments.csv + Reactions.csv + Shares.csv, but that’s outbound engagement, not the full picture Feed SR uses.</w:t>
      </w:r>
    </w:p>
    <w:p>
      <w:pPr>
        <w:spacing w:after="160"/>
      </w:pPr>
      <w:r>
        <w:rPr>
          <w:rFonts w:ascii="Source Sans 3" w:hAnsi="Source Sans 3"/>
          <w:b/>
        </w:rPr>
        <w:t>Action: Define what measurable quantity from the export data serves as the proxy for “history depth.” Total outbound actions (comments + reactions + posts) is the obvious candidate. Confirm this is the intended proxy and that the &lt;10 threshold translates to this metric.</w:t>
      </w:r>
    </w:p>
    <w:p>
      <w:pPr>
        <w:pStyle w:val="Heading3"/>
      </w:pPr>
      <w:r>
        <w:t>10. Recent Activity Strength bands — carry over or revise?</w:t>
      </w:r>
    </w:p>
    <w:p>
      <w:pPr>
        <w:spacing w:after="80"/>
      </w:pPr>
      <w:r>
        <w:rPr>
          <w:rFonts w:ascii="Source Sans 3" w:hAnsi="Source Sans 3"/>
        </w:rPr>
        <w:t>The v1 architecture defined complete 0–5 scoring bands for Recent Activity Strength (Section 3 of the March 30 Architecture Decisions). This sub-dimension maps cleanly to Dimension 2’s “Recency” sub-dimension. The existing bands were:</w:t>
      </w:r>
    </w:p>
    <w:tbl>
      <w:tblPr>
        <w:tblW w:type="auto" w:w="0"/>
        <w:jc w:val="left"/>
        <w:tblLayout w:type="fixed"/>
        <w:tblLook w:firstColumn="1" w:firstRow="1" w:lastColumn="0" w:lastRow="0" w:noHBand="0" w:noVBand="1" w:val="04A0"/>
      </w:tblPr>
      <w:tblGrid>
        <w:gridCol w:w="4680"/>
        <w:gridCol w:w="4680"/>
      </w:tblGrid>
      <w:tr>
        <w:tc>
          <w:tcPr>
            <w:tcW w:type="dxa" w:w="115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Score</w:t>
            </w:r>
          </w:p>
        </w:tc>
        <w:tc>
          <w:tcPr>
            <w:tcW w:type="dxa" w:w="8208"/>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Criteria</w:t>
            </w:r>
          </w:p>
        </w:tc>
      </w:tr>
      <w:tr>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5</w:t>
            </w:r>
          </w:p>
        </w:tc>
        <w:tc>
          <w:tcPr>
            <w:tcW w:type="dxa" w:w="820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5+ posts in last 30 days AND trend equal or increasing</w:t>
            </w:r>
          </w:p>
        </w:tc>
      </w:tr>
      <w:tr>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4</w:t>
            </w:r>
          </w:p>
        </w:tc>
        <w:tc>
          <w:tcPr>
            <w:tcW w:type="dxa" w:w="820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3–4 posts in last 30 days AND trend equal or increasing</w:t>
            </w:r>
          </w:p>
        </w:tc>
      </w:tr>
      <w:tr>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3</w:t>
            </w:r>
          </w:p>
        </w:tc>
        <w:tc>
          <w:tcPr>
            <w:tcW w:type="dxa" w:w="820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1–2 posts in last 30 days regardless of trend</w:t>
            </w:r>
          </w:p>
        </w:tc>
      </w:tr>
      <w:tr>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2</w:t>
            </w:r>
          </w:p>
        </w:tc>
        <w:tc>
          <w:tcPr>
            <w:tcW w:type="dxa" w:w="820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0 posts in last 30 days but active in prior 30</w:t>
            </w:r>
          </w:p>
        </w:tc>
      </w:tr>
      <w:tr>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1</w:t>
            </w:r>
          </w:p>
        </w:tc>
        <w:tc>
          <w:tcPr>
            <w:tcW w:type="dxa" w:w="820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No posts in last 60 days but some activity in 90-day window</w:t>
            </w:r>
          </w:p>
        </w:tc>
      </w:tr>
      <w:tr>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0</w:t>
            </w:r>
          </w:p>
        </w:tc>
        <w:tc>
          <w:tcPr>
            <w:tcW w:type="dxa" w:w="820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No posting activity in 90-day window</w:t>
            </w:r>
          </w:p>
        </w:tc>
      </w:tr>
    </w:tbl>
    <w:p>
      <w:pPr>
        <w:spacing w:after="160"/>
      </w:pPr>
      <w:r>
        <w:rPr>
          <w:rFonts w:ascii="Source Sans 3" w:hAnsi="Source Sans 3"/>
          <w:b/>
        </w:rPr>
        <w:br/>
        <w:t>Action: Confirm these bands carry over to the v2 architecture, or flag if they need revision given the reframe around Feed SR’s confirmed recency signals.</w:t>
      </w:r>
    </w:p>
    <w:p>
      <w:pPr>
        <w:pStyle w:val="Heading2"/>
      </w:pPr>
      <w:r>
        <w:t>Summary</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43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w:t>
            </w:r>
          </w:p>
        </w:tc>
        <w:tc>
          <w:tcPr>
            <w:tcW w:type="dxa" w:w="3456"/>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Item</w:t>
            </w:r>
          </w:p>
        </w:tc>
        <w:tc>
          <w:tcPr>
            <w:tcW w:type="dxa" w:w="1728"/>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Owner</w:t>
            </w:r>
          </w:p>
        </w:tc>
        <w:tc>
          <w:tcPr>
            <w:tcW w:type="dxa" w:w="115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Priority</w:t>
            </w:r>
          </w:p>
        </w:tc>
        <w:tc>
          <w:tcPr>
            <w:tcW w:type="dxa" w:w="2592"/>
            <w:tcBorders>
              <w:top w:val="single" w:sz="4" w:space="0" w:color="CCCCCC"/>
              <w:left w:val="single" w:sz="4" w:space="0" w:color="CCCCCC"/>
              <w:bottom w:val="single" w:sz="4" w:space="0" w:color="CCCCCC"/>
              <w:right w:val="single" w:sz="4" w:space="0" w:color="CCCCCC"/>
            </w:tcBorders>
            <w:shd w:fill="1C2B3A" w:val="clear"/>
          </w:tcPr>
          <w:p>
            <w:pPr>
              <w:spacing w:after="40" w:before="40"/>
            </w:pPr>
            <w:r>
              <w:rPr>
                <w:rFonts w:ascii="Source Sans 3" w:hAnsi="Source Sans 3"/>
                <w:b/>
                <w:color w:val="FFFFFF"/>
                <w:sz w:val="20"/>
              </w:rPr>
              <w:t>Blocks</w:t>
            </w:r>
          </w:p>
        </w:tc>
      </w:tr>
      <w:tr>
        <w:tc>
          <w:tcPr>
            <w:tcW w:type="dxa" w:w="43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1</w:t>
            </w:r>
          </w:p>
        </w:tc>
        <w:tc>
          <w:tcPr>
            <w:tcW w:type="dxa" w:w="345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Dim 2 quantitative breakpoints</w:t>
            </w:r>
          </w:p>
        </w:tc>
        <w:tc>
          <w:tcPr>
            <w:tcW w:type="dxa" w:w="172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Andrew</w:t>
            </w:r>
          </w:p>
        </w:tc>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High</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Scoring engine</w:t>
            </w:r>
          </w:p>
        </w:tc>
      </w:tr>
      <w:tr>
        <w:tc>
          <w:tcPr>
            <w:tcW w:type="dxa" w:w="43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2</w:t>
            </w:r>
          </w:p>
        </w:tc>
        <w:tc>
          <w:tcPr>
            <w:tcW w:type="dxa" w:w="345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Viewer-actor affinity resolution</w:t>
            </w:r>
          </w:p>
        </w:tc>
        <w:tc>
          <w:tcPr>
            <w:tcW w:type="dxa" w:w="172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Andrew</w:t>
            </w:r>
          </w:p>
        </w:tc>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High</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Dim 3 rubrics</w:t>
            </w:r>
          </w:p>
        </w:tc>
      </w:tr>
      <w:tr>
        <w:tc>
          <w:tcPr>
            <w:tcW w:type="dxa" w:w="43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3</w:t>
            </w:r>
          </w:p>
        </w:tc>
        <w:tc>
          <w:tcPr>
            <w:tcW w:type="dxa" w:w="345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Dim 3 + 4 rubrics</w:t>
            </w:r>
          </w:p>
        </w:tc>
        <w:tc>
          <w:tcPr>
            <w:tcW w:type="dxa" w:w="172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Andrew</w:t>
            </w:r>
          </w:p>
        </w:tc>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High</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Scoring engine</w:t>
            </w:r>
          </w:p>
        </w:tc>
      </w:tr>
      <w:tr>
        <w:tc>
          <w:tcPr>
            <w:tcW w:type="dxa" w:w="43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4</w:t>
            </w:r>
          </w:p>
        </w:tc>
        <w:tc>
          <w:tcPr>
            <w:tcW w:type="dxa" w:w="345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Lock dimension weighting</w:t>
            </w:r>
          </w:p>
        </w:tc>
        <w:tc>
          <w:tcPr>
            <w:tcW w:type="dxa" w:w="172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Andrew</w:t>
            </w:r>
          </w:p>
        </w:tc>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High</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Scoring engine</w:t>
            </w:r>
          </w:p>
        </w:tc>
      </w:tr>
      <w:tr>
        <w:tc>
          <w:tcPr>
            <w:tcW w:type="dxa" w:w="43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5</w:t>
            </w:r>
          </w:p>
        </w:tc>
        <w:tc>
          <w:tcPr>
            <w:tcW w:type="dxa" w:w="345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Band percentage breakpoints</w:t>
            </w:r>
          </w:p>
        </w:tc>
        <w:tc>
          <w:tcPr>
            <w:tcW w:type="dxa" w:w="172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Andrew + Josh</w:t>
            </w:r>
          </w:p>
        </w:tc>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High</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Report output</w:t>
            </w:r>
          </w:p>
        </w:tc>
      </w:tr>
      <w:tr>
        <w:tc>
          <w:tcPr>
            <w:tcW w:type="dxa" w:w="43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6</w:t>
            </w:r>
          </w:p>
        </w:tc>
        <w:tc>
          <w:tcPr>
            <w:tcW w:type="dxa" w:w="345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Visual Professionalism placement</w:t>
            </w:r>
          </w:p>
        </w:tc>
        <w:tc>
          <w:tcPr>
            <w:tcW w:type="dxa" w:w="172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Andrew</w:t>
            </w:r>
          </w:p>
        </w:tc>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Medium</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Dim 1 completeness</w:t>
            </w:r>
          </w:p>
        </w:tc>
      </w:tr>
      <w:tr>
        <w:tc>
          <w:tcPr>
            <w:tcW w:type="dxa" w:w="43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7</w:t>
            </w:r>
          </w:p>
        </w:tc>
        <w:tc>
          <w:tcPr>
            <w:tcW w:type="dxa" w:w="345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Sub-dimension combination formula</w:t>
            </w:r>
          </w:p>
        </w:tc>
        <w:tc>
          <w:tcPr>
            <w:tcW w:type="dxa" w:w="172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Andrew + Josh</w:t>
            </w:r>
          </w:p>
        </w:tc>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High</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Scoring engine</w:t>
            </w:r>
          </w:p>
        </w:tc>
      </w:tr>
      <w:tr>
        <w:tc>
          <w:tcPr>
            <w:tcW w:type="dxa" w:w="43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8</w:t>
            </w:r>
          </w:p>
        </w:tc>
        <w:tc>
          <w:tcPr>
            <w:tcW w:type="dxa" w:w="345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Forward Brief data contract</w:t>
            </w:r>
          </w:p>
        </w:tc>
        <w:tc>
          <w:tcPr>
            <w:tcW w:type="dxa" w:w="172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Josh</w:t>
            </w:r>
          </w:p>
        </w:tc>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Medium</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Pipeline architecture</w:t>
            </w:r>
          </w:p>
        </w:tc>
      </w:tr>
      <w:tr>
        <w:tc>
          <w:tcPr>
            <w:tcW w:type="dxa" w:w="43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9</w:t>
            </w:r>
          </w:p>
        </w:tc>
        <w:tc>
          <w:tcPr>
            <w:tcW w:type="dxa" w:w="3456"/>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History depth proxy definition</w:t>
            </w:r>
          </w:p>
        </w:tc>
        <w:tc>
          <w:tcPr>
            <w:tcW w:type="dxa" w:w="1728"/>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Andrew</w:t>
            </w:r>
          </w:p>
        </w:tc>
        <w:tc>
          <w:tcPr>
            <w:tcW w:type="dxa" w:w="115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Medium</w:t>
            </w:r>
          </w:p>
        </w:tc>
        <w:tc>
          <w:tcPr>
            <w:tcW w:type="dxa" w:w="2592"/>
            <w:tcBorders>
              <w:top w:val="single" w:sz="4" w:space="0" w:color="CCCCCC"/>
              <w:left w:val="single" w:sz="4" w:space="0" w:color="CCCCCC"/>
              <w:bottom w:val="single" w:sz="4" w:space="0" w:color="CCCCCC"/>
              <w:right w:val="single" w:sz="4" w:space="0" w:color="CCCCCC"/>
            </w:tcBorders>
          </w:tcPr>
          <w:p>
            <w:pPr>
              <w:spacing w:after="40" w:before="40"/>
            </w:pPr>
            <w:r>
              <w:rPr>
                <w:rFonts w:ascii="Source Sans 3" w:hAnsi="Source Sans 3"/>
                <w:sz w:val="20"/>
              </w:rPr>
              <w:t>Dim 2 scoring</w:t>
            </w:r>
          </w:p>
        </w:tc>
      </w:tr>
      <w:tr>
        <w:tc>
          <w:tcPr>
            <w:tcW w:type="dxa" w:w="43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10</w:t>
            </w:r>
          </w:p>
        </w:tc>
        <w:tc>
          <w:tcPr>
            <w:tcW w:type="dxa" w:w="3456"/>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Recent Activity Strength bands</w:t>
            </w:r>
          </w:p>
        </w:tc>
        <w:tc>
          <w:tcPr>
            <w:tcW w:type="dxa" w:w="1728"/>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Andrew</w:t>
            </w:r>
          </w:p>
        </w:tc>
        <w:tc>
          <w:tcPr>
            <w:tcW w:type="dxa" w:w="115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Low</w:t>
            </w:r>
          </w:p>
        </w:tc>
        <w:tc>
          <w:tcPr>
            <w:tcW w:type="dxa" w:w="2592"/>
            <w:tcBorders>
              <w:top w:val="single" w:sz="4" w:space="0" w:color="CCCCCC"/>
              <w:left w:val="single" w:sz="4" w:space="0" w:color="CCCCCC"/>
              <w:bottom w:val="single" w:sz="4" w:space="0" w:color="CCCCCC"/>
              <w:right w:val="single" w:sz="4" w:space="0" w:color="CCCCCC"/>
            </w:tcBorders>
            <w:shd w:fill="F5F2ED" w:val="clear"/>
          </w:tcPr>
          <w:p>
            <w:pPr>
              <w:spacing w:after="40" w:before="40"/>
            </w:pPr>
            <w:r>
              <w:rPr>
                <w:rFonts w:ascii="Source Sans 3" w:hAnsi="Source Sans 3"/>
                <w:sz w:val="20"/>
              </w:rPr>
              <w:t>Dim 2 scoring (has default)</w:t>
            </w:r>
          </w:p>
        </w:tc>
      </w:tr>
    </w:tbl>
    <w:p/>
    <w:p>
      <w:pPr>
        <w:spacing w:after="240"/>
      </w:pPr>
      <w:r>
        <w:rPr>
          <w:rFonts w:ascii="Source Sans 3" w:hAnsi="Source Sans 3"/>
          <w:i/>
          <w:color w:val="7A6A56"/>
        </w:rPr>
        <w:t>Items 1–5 and 7 are launch-blocking. Items 6, 8, and 9 should be resolved before build but have reasonable defaults. Item 10 has existing bands that carry over unless revised.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urce Sans 3" w:hAnsi="Source Sans 3"/>
        <w:color w:val="7A6A56"/>
        <w:sz w:val="16"/>
      </w:rPr>
      <w:t xml:space="preserve">Page </w:t>
    </w:r>
    <w:r>
      <w:rPr>
        <w:rFonts w:ascii="Source Sans 3" w:hAnsi="Source Sans 3"/>
        <w:sz w:val="16"/>
        <w:color w:val="7A6A56"/>
      </w:rPr>
      <w:fldChar w:fldCharType="begin"/>
    </w:r>
    <w:r>
      <w:rPr>
        <w:rFonts w:ascii="Source Sans 3" w:hAnsi="Source Sans 3"/>
        <w:sz w:val="16"/>
        <w:color w:val="7A6A56"/>
      </w:rPr>
      <w:instrText xml:space="preserve"> PAGE </w:instrText>
    </w:r>
    <w:r>
      <w:rPr>
        <w:rFonts w:ascii="Source Sans 3" w:hAnsi="Source Sans 3"/>
        <w:sz w:val="16"/>
        <w:color w:val="7A6A5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ource Sans 3" w:hAnsi="Source Sans 3"/>
        <w:i/>
        <w:color w:val="7A6A56"/>
        <w:sz w:val="16"/>
      </w:rPr>
      <w:t>Orpheus Social  |  Signal Score v2 Open Items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color w:val="271D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ource Serif 4" w:hAnsi="Source Serif 4"/>
      <w:b/>
      <w:bCs/>
      <w:color w:val="1C2B3A"/>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Source Serif 4" w:hAnsi="Source Serif 4"/>
      <w:b/>
      <w:bCs/>
      <w:color w:val="1C2B3A"/>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Source Serif 4" w:hAnsi="Source Serif 4"/>
      <w:b/>
      <w:bCs/>
      <w:color w:val="7A6A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