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Real-Time Tiger Nut–Stone Sorting on ESP32-CAM: A Binary MobileNetV1 Classifier and the Accuracy Cost of INT8 Quantization</w:t>
      </w:r>
    </w:p>
    <w:p>
      <w:pPr>
        <w:spacing w:after="40"/>
        <w:jc w:val="center"/>
      </w:pPr>
      <w:r>
        <w:rPr>
          <w:rFonts w:ascii="Times New Roman" w:cs="Times New Roman" w:eastAsia="Times New Roman" w:hAnsi="Times New Roman"/>
          <w:sz w:val="21"/>
          <w:szCs w:val="21"/>
        </w:rPr>
        <w:t xml:space="preserve">Joshua Ojoagefu Okpanachi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1"/>
          <w:szCs w:val="21"/>
        </w:rPr>
        <w:t xml:space="preserve">, [Supervisor/Co-Author Name]</w:t>
      </w:r>
      <w:r>
        <w:rPr>
          <w:rFonts w:ascii="Times New Roman" w:cs="Times New Roman" w:eastAsia="Times New Roman" w:hAnsi="Times New Roman"/>
          <w:sz w:val="16"/>
          <w:szCs w:val="16"/>
          <w:vertAlign w:val="superscript"/>
        </w:rPr>
        <w:t xml:space="preserve">2*</w:t>
      </w:r>
    </w:p>
    <w:p>
      <w:pPr>
        <w:spacing w:after="20"/>
        <w:jc w:val="center"/>
      </w:pPr>
      <w:r>
        <w:rPr>
          <w:rFonts w:ascii="Times New Roman" w:cs="Times New Roman" w:eastAsia="Times New Roman" w:hAnsi="Times New Roman"/>
          <w:i/>
          <w:iCs/>
          <w:sz w:val="18"/>
          <w:szCs w:val="18"/>
        </w:rPr>
        <w:t xml:space="preserve">1 Department of Mechanical/Mechatronics Engineering, Federal University of Technology, Minna, Nigeria</w:t>
      </w:r>
    </w:p>
    <w:p>
      <w:pPr>
        <w:spacing w:after="20"/>
        <w:jc w:val="center"/>
      </w:pPr>
      <w:r>
        <w:rPr>
          <w:rFonts w:ascii="Times New Roman" w:cs="Times New Roman" w:eastAsia="Times New Roman" w:hAnsi="Times New Roman"/>
          <w:i/>
          <w:iCs/>
          <w:sz w:val="18"/>
          <w:szCs w:val="18"/>
        </w:rPr>
        <w:t xml:space="preserve">2 [Department], Federal University of Technology, Minna, Nigeria</w:t>
      </w:r>
    </w:p>
    <w:p>
      <w:pPr>
        <w:spacing w:after="260"/>
        <w:jc w:val="center"/>
      </w:pPr>
      <w:r>
        <w:rPr>
          <w:rFonts w:ascii="Times New Roman" w:cs="Times New Roman" w:eastAsia="Times New Roman" w:hAnsi="Times New Roman"/>
          <w:i/>
          <w:iCs/>
          <w:sz w:val="18"/>
          <w:szCs w:val="18"/>
        </w:rPr>
        <w:t xml:space="preserve">* Corresponding author: [email@futminna.edu.ng]</w:t>
      </w:r>
    </w:p>
    <w:p>
      <w:pPr>
        <w:spacing w:after="160" w:line="276"/>
        <w:jc w:val="both"/>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Postharvest processing of tiger nut (Cyperus esculentus) requires separating edible nuts from stones and other field debris picked up during harvesting and sun-drying. This paper presents an embedded computer-vision sorter built around an AI Thinker ESP32-CAM, an OV2640 camera, and a MobileNetV1 image classifier trained by transfer learning on the Edge Impulse platform. An earlier three-class formulation (good tiger nut / damaged tiger nut / stone) reached 86.5% validation accuracy but was limited by visual overlap between the damaged-nut and stone classes. Reframing the task as a binary good-nut/stone problem and retraining on 257 images (204 train / 53 test; 136 tiger nut, 121 stone) raised the full-precision (float32) model's accuracy to 95.1% validation and 84.9% on the held-out test set, while the INT8-quantized model required for deployment on the ESP32-CAM's constrained SRAM reached only 73.2% validation and 69.8% test accuracy — rejecting 16 of 28 good nuts as stone while never once passing a stone through as a nut in either precision. Repeating training a second time under identical settings reproduced the INT8 result almost exactly (73.2% validation, an identical confusion matrix) while the float32 result did not reproduce (95.1% vs. 73.2% across the two runs, with an inverted error pattern), indicating the quantization bottleneck, not training-run variance, is the dominant limit on this dataset. We report this gap, its confusion-matrix structure, the resulting model-size trade-off (3.9 MB int8 vs. 10.3 MB float32 generated model source), and the limits we hit trying to obtain on-device latency from the platform's profiler, and argue that TinyML sorting systems should report accuracy for the deployed quantized model, checked across more than one training run, rather than a single training-time float32 figure.</w:t>
      </w:r>
    </w:p>
    <w:p>
      <w:pPr>
        <w:spacing w:after="160" w:line="276"/>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TinyML · Edge Impulse · ESP32-CAM · MobileNetV1 · tiger nut · INT8 quantization · agricultural sorting</w:t>
      </w:r>
    </w:p>
    <w:p>
      <w:pPr>
        <w:pStyle w:val="Heading1"/>
        <w:spacing w:after="140" w:before="280"/>
      </w:pPr>
      <w:r>
        <w:rPr>
          <w:rFonts w:ascii="Times New Roman" w:cs="Times New Roman" w:eastAsia="Times New Roman" w:hAnsi="Times New Roman"/>
          <w:b/>
          <w:bCs/>
          <w:color w:val="0B0B0B"/>
          <w:sz w:val="26"/>
          <w:szCs w:val="26"/>
        </w:rPr>
        <w:t xml:space="preserve">1  Introduction</w:t>
      </w:r>
    </w:p>
    <w:p>
      <w:pPr>
        <w:spacing w:after="160" w:line="276"/>
        <w:jc w:val="both"/>
      </w:pPr>
      <w:r>
        <w:rPr>
          <w:rFonts w:ascii="Times New Roman" w:cs="Times New Roman" w:eastAsia="Times New Roman" w:hAnsi="Times New Roman"/>
          <w:sz w:val="21"/>
          <w:szCs w:val="21"/>
        </w:rPr>
        <w:t xml:space="preserve">Tiger nut (Cyperus esculentus), known locally as aya in northern Nigeria, is processed into snacks, flour, and the beverage kunun aya after harvesting, washing, and sun-drying [3]. Washing removes most sand, but small stones of similar size and mass to a dried tiger nut routinely survive into the dried batch and must be separated before packaging or milling [2]. On a small or medium processing line this separation is still typically done by hand, which is slow and inconsistent, motivating low-cost automated optical sorting [1].</w:t>
      </w:r>
    </w:p>
    <w:p>
      <w:pPr>
        <w:spacing w:after="160" w:line="276"/>
        <w:jc w:val="both"/>
      </w:pPr>
      <w:r>
        <w:rPr>
          <w:rFonts w:ascii="Times New Roman" w:cs="Times New Roman" w:eastAsia="Times New Roman" w:hAnsi="Times New Roman"/>
          <w:sz w:val="21"/>
          <w:szCs w:val="21"/>
        </w:rPr>
        <w:t xml:space="preserve">Embedded vision on microcontroller-class hardware (TinyML) has become a practical option for this kind of small-scale sorting task, since boards such as the ESP32-CAM combine a camera, Wi-Fi, and enough compute for a quantized convolutional network at a cost of only a few dollars [5,6]. An earlier iteration of the system described here used a Random Forest classifier trained on handcrafted HSV colour-histogram and Local Binary Pattern features, reaching 74% accuracy on a Raspberry Pi [4]; replacing it with a MobileNetV1 transfer-learning model trained via Edge Impulse raised accuracy to 86.5% on a three-class good/damaged/stone problem while running on cheaper, lower-power hardware. However, the damaged-tiger-nut class shared enough grey-brown surface tone with stone at the model's 96×96 input resolution that it was the dominant source of error.</w:t>
      </w:r>
    </w:p>
    <w:p>
      <w:pPr>
        <w:spacing w:after="160" w:line="276"/>
        <w:jc w:val="both"/>
      </w:pPr>
      <w:r>
        <w:rPr>
          <w:rFonts w:ascii="Times New Roman" w:cs="Times New Roman" w:eastAsia="Times New Roman" w:hAnsi="Times New Roman"/>
          <w:sz w:val="21"/>
          <w:szCs w:val="21"/>
        </w:rPr>
        <w:t xml:space="preserve">This paper reports what happened when that non-separable third class was removed and the problem was reframed as binary classification (good tiger nut vs. stone), and — more importantly — what happened when the resulting model was quantized to INT8 for on-device deployment and retrained a second time to check reproducibility, two steps most TinyML write-ups do not separately report. The contributions of this paper are: (1) a case study in reframing a three-class agricultural sorting problem as binary once one class proves visually inseparable from another; (2) a quantified comparison of float32 and INT8 accuracy and confusion-matrix structure for this task on ESP32-CAM-class hardware, including a markedly asymmetric degradation pattern; (3) evidence from two independent training runs that this INT8 result is reproducible while the float32 result is not, on a dataset this size; and (4) a complete, working embedded sorting pipeline — camera capture, inference, confidence thresholding, and relay/LED actuation — reported here with the deployed model's real accuracy rather than a single training-time figure.</w:t>
      </w:r>
    </w:p>
    <w:p>
      <w:pPr>
        <w:spacing w:after="160" w:line="276"/>
        <w:jc w:val="both"/>
      </w:pPr>
      <w:r>
        <w:rPr>
          <w:rFonts w:ascii="Times New Roman" w:cs="Times New Roman" w:eastAsia="Times New Roman" w:hAnsi="Times New Roman"/>
          <w:sz w:val="21"/>
          <w:szCs w:val="21"/>
        </w:rPr>
        <w:t xml:space="preserve">The remainder of the paper is organised as follows. Section 2 reviews embedded machine-vision food sorting and TinyML quantization literature. Section 3 describes the hardware, dataset, and training configuration. Section 4 reports validation- and test-set results for both model variants, including a second independent training run used to check how reproducible those results are. Section 5 concludes and outlines future work.</w:t>
      </w:r>
    </w:p>
    <w:p>
      <w:pPr>
        <w:pStyle w:val="Heading1"/>
        <w:spacing w:after="140" w:before="280"/>
      </w:pPr>
      <w:r>
        <w:rPr>
          <w:rFonts w:ascii="Times New Roman" w:cs="Times New Roman" w:eastAsia="Times New Roman" w:hAnsi="Times New Roman"/>
          <w:b/>
          <w:bCs/>
          <w:color w:val="0B0B0B"/>
          <w:sz w:val="26"/>
          <w:szCs w:val="26"/>
        </w:rPr>
        <w:t xml:space="preserve">2  Related Work</w:t>
      </w:r>
    </w:p>
    <w:p>
      <w:pPr>
        <w:spacing w:after="160" w:line="276"/>
        <w:jc w:val="both"/>
      </w:pPr>
      <w:r>
        <w:rPr>
          <w:rFonts w:ascii="Times New Roman" w:cs="Times New Roman" w:eastAsia="Times New Roman" w:hAnsi="Times New Roman"/>
          <w:sz w:val="21"/>
          <w:szCs w:val="21"/>
        </w:rPr>
        <w:t xml:space="preserve">Machine vision has been applied across food processing broadly, from sorting and grading to foreign-material detection, with colour- and texture-based optical sorters now standard for separating grains from field stones by surface reflectance [1,2]. Stones are a common contaminant in cereal and legume processing specifically, and are comparatively easy to detect optically because of their density and colour contrast with the target crop [2].</w:t>
      </w:r>
    </w:p>
    <w:p>
      <w:pPr>
        <w:spacing w:after="160" w:line="276"/>
        <w:jc w:val="both"/>
      </w:pPr>
      <w:r>
        <w:rPr>
          <w:rFonts w:ascii="Times New Roman" w:cs="Times New Roman" w:eastAsia="Times New Roman" w:hAnsi="Times New Roman"/>
          <w:sz w:val="21"/>
          <w:szCs w:val="21"/>
        </w:rPr>
        <w:t xml:space="preserve">Within embedded TinyML, the ESP32-CAM paired with Edge Impulse has been used for several agricultural classification tasks: Kulkarni et al. report ESP32-CAM tomato grading and classification through Edge Impulse's cloud-trained ResNet pipeline for sustainable farming [6], while Ben Aicha presents a general optimisation study for running quantized CNNs on the ESP32-CAM's 520 KB SRAM, addressing TensorFlow Lite buffer-overflow and memory-alignment issues at the firmware level [5]. Both report the trained model's accuracy without separately isolating the accuracy of the quantized model actually flashed to the board. A YOLOv8-based alternative exists for crop sorting specifically: Rojas Yana and Salcedo combine a YOLOv8 detector and a YOLOv8 classifier with pneumatic ejection to sort green lentils into six grades at 87.2% separation accuracy [7]. That approach requires bounding-box-annotated training data to locate grains on a belt; the dataset used in the present work has only whole-image class labels, so a head-to-head comparison against a detection-based pipeline is left for future work rather than attempted here.</w:t>
      </w:r>
    </w:p>
    <w:p>
      <w:pPr>
        <w:spacing w:after="160" w:line="276"/>
        <w:jc w:val="both"/>
      </w:pPr>
      <w:r>
        <w:rPr>
          <w:rFonts w:ascii="Times New Roman" w:cs="Times New Roman" w:eastAsia="Times New Roman" w:hAnsi="Times New Roman"/>
          <w:sz w:val="21"/>
          <w:szCs w:val="21"/>
        </w:rPr>
        <w:t xml:space="preserve">On the quantization side, Zhuo et al. benchmark post-training quantization (PTQ) methods for TinyML use cases and report accuracy losses typically in the 0.3–3 percentage-point range relative to float32 on their benchmark datasets [8]. Abushahla et al.'s survey of microcontroller-targeted quantization likewise treats sub-1-point PTQ degradation as the expected case, while noting that small or imbalanced training sets are a known sensitivity factor that can push the loss higher [9]. The gap we report in Section 4 (22–25 percentage points) is far larger than either source's typical range, which we attribute to the small per-class image count available here (roughly 120–135 images per class) relative to the benchmark datasets those studies use.</w:t>
      </w:r>
    </w:p>
    <w:p>
      <w:pPr>
        <w:spacing w:after="160" w:line="276"/>
        <w:jc w:val="both"/>
      </w:pPr>
      <w:r>
        <w:rPr>
          <w:rFonts w:ascii="Times New Roman" w:cs="Times New Roman" w:eastAsia="Times New Roman" w:hAnsi="Times New Roman"/>
          <w:sz w:val="21"/>
          <w:szCs w:val="21"/>
        </w:rPr>
        <w:t xml:space="preserve">The gap this paper addresses is narrow but, we think, common in practice: published ESP32-CAM/Edge Impulse agricultural deployments report the float32 training metric, not a separately measured accuracy for the INT8 model that is actually exported and flashed to the device. The results in Section 4 show that, at least for a small, two-class dataset, this distinction is not cosmetic.</w:t>
      </w:r>
    </w:p>
    <w:p>
      <w:pPr>
        <w:pStyle w:val="Heading1"/>
        <w:spacing w:after="140" w:before="280"/>
      </w:pPr>
      <w:r>
        <w:rPr>
          <w:rFonts w:ascii="Times New Roman" w:cs="Times New Roman" w:eastAsia="Times New Roman" w:hAnsi="Times New Roman"/>
          <w:b/>
          <w:bCs/>
          <w:color w:val="0B0B0B"/>
          <w:sz w:val="26"/>
          <w:szCs w:val="26"/>
        </w:rPr>
        <w:t xml:space="preserve">3  Methodology / System Design</w:t>
      </w:r>
    </w:p>
    <w:p>
      <w:pPr>
        <w:pStyle w:val="Heading2"/>
        <w:spacing w:after="100" w:before="200"/>
      </w:pPr>
      <w:r>
        <w:rPr>
          <w:rFonts w:ascii="Times New Roman" w:cs="Times New Roman" w:eastAsia="Times New Roman" w:hAnsi="Times New Roman"/>
          <w:b/>
          <w:bCs/>
          <w:color w:val="0B0B0B"/>
          <w:sz w:val="23"/>
          <w:szCs w:val="23"/>
        </w:rPr>
        <w:t xml:space="preserve">3.1  Hardware and sorting pipeline</w:t>
      </w:r>
    </w:p>
    <w:p>
      <w:pPr>
        <w:spacing w:after="160" w:line="276"/>
        <w:jc w:val="both"/>
      </w:pPr>
      <w:r>
        <w:rPr>
          <w:rFonts w:ascii="Times New Roman" w:cs="Times New Roman" w:eastAsia="Times New Roman" w:hAnsi="Times New Roman"/>
          <w:sz w:val="21"/>
          <w:szCs w:val="21"/>
        </w:rPr>
        <w:t xml:space="preserve">The sorter uses an AI Thinker ESP32-CAM module with an OV2640 camera. An item on the conveyor is captured, resized to the model's 96×96 RGB input, and classified on-device. If the top class confidence is below a threshold of 0.65 the item is treated as uncertain and allowed to flow straight through for manual inspection; otherwise a green LED flashes and the item proceeds for a tiger nut, or a red LED flashes and a relay pulses (after a 300 ms belt-travel delay, held for 400 ms) to divert the item for a stone. The firmware and sort logic were updated for this study to match the binary model: the previous left-deflector relay and orange LED used to divert damaged nuts were removed along with the corresponding class.</w:t>
      </w:r>
    </w:p>
    <w:p>
      <w:pPr>
        <w:pStyle w:val="Heading2"/>
        <w:spacing w:after="100" w:before="200"/>
      </w:pPr>
      <w:r>
        <w:rPr>
          <w:rFonts w:ascii="Times New Roman" w:cs="Times New Roman" w:eastAsia="Times New Roman" w:hAnsi="Times New Roman"/>
          <w:b/>
          <w:bCs/>
          <w:color w:val="0B0B0B"/>
          <w:sz w:val="23"/>
          <w:szCs w:val="23"/>
        </w:rPr>
        <w:t xml:space="preserve">3.2  Dataset</w:t>
      </w:r>
    </w:p>
    <w:p>
      <w:pPr>
        <w:spacing w:after="160" w:line="276"/>
        <w:jc w:val="both"/>
      </w:pPr>
      <w:r>
        <w:rPr>
          <w:rFonts w:ascii="Times New Roman" w:cs="Times New Roman" w:eastAsia="Times New Roman" w:hAnsi="Times New Roman"/>
          <w:sz w:val="21"/>
          <w:szCs w:val="21"/>
        </w:rPr>
        <w:t xml:space="preserve">Images were collected in two batches under controlled lab lighting: an initial batch and a supplementary batch collected to improve class balance. After the damaged-tiger-nut class was removed, the remaining labelled set comprised 257 images — 136 good tiger nut and 121 stone — split 80/20 at upload time into 204 training images (108 tiger nut, 96 stone) and 53 held-out test images (28 tiger nut, 25 stone) never used during training or validation.</w:t>
      </w:r>
    </w:p>
    <w:p>
      <w:pPr>
        <w:spacing w:after="160" w:line="276"/>
        <w:jc w:val="both"/>
      </w:pPr>
      <w:r>
        <w:rPr>
          <w:rFonts w:ascii="Times New Roman" w:cs="Times New Roman" w:eastAsia="Times New Roman" w:hAnsi="Times New Roman"/>
          <w:sz w:val="21"/>
          <w:szCs w:val="21"/>
        </w:rPr>
        <w:t xml:space="preserve">Table 1 summarises the dataset composition used for this study.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00"/>
      </w:tblGrid>
      <w:tr>
        <w:trPr>
          <w:tblHeader/>
        </w:trPr>
        <w:tc>
          <w:tcPr>
            <w:tcW w:type="dxa" w:w="32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Class</w:t>
            </w:r>
          </w:p>
        </w:tc>
        <w:tc>
          <w:tcPr>
            <w:tcW w:type="dxa" w:w="22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Training images</w:t>
            </w:r>
          </w:p>
        </w:tc>
        <w:tc>
          <w:tcPr>
            <w:tcW w:type="dxa" w:w="22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Test images</w:t>
            </w:r>
          </w:p>
        </w:tc>
        <w:tc>
          <w:tcPr>
            <w:tcW w:type="dxa" w:w="20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w:t>
            </w:r>
          </w:p>
        </w:tc>
      </w:tr>
      <w:t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tiger_nut (good)</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108</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136</w:t>
            </w:r>
          </w:p>
        </w:tc>
      </w:tr>
      <w:t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stone</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96</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121</w:t>
            </w:r>
          </w:p>
        </w:tc>
      </w:tr>
      <w:tr>
        <w:tc>
          <w:tcPr>
            <w:tcW w:type="dxa" w:w="32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Total</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204</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53</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257</w:t>
            </w:r>
          </w:p>
        </w:tc>
      </w:tr>
    </w:tbl>
    <w:p>
      <w:pPr>
        <w:spacing w:after="220" w:before="80"/>
        <w:jc w:val="center"/>
      </w:pPr>
      <w:r>
        <w:rPr>
          <w:rFonts w:ascii="Times New Roman" w:cs="Times New Roman" w:eastAsia="Times New Roman" w:hAnsi="Times New Roman"/>
          <w:b/>
          <w:bCs/>
          <w:sz w:val="18"/>
          <w:szCs w:val="18"/>
        </w:rPr>
        <w:t xml:space="preserve">Table 1. Dataset composition after removing the damaged-tiger-nut class.</w:t>
      </w:r>
    </w:p>
    <w:p>
      <w:pPr>
        <w:pStyle w:val="Heading2"/>
        <w:spacing w:after="100" w:before="200"/>
      </w:pPr>
      <w:r>
        <w:rPr>
          <w:rFonts w:ascii="Times New Roman" w:cs="Times New Roman" w:eastAsia="Times New Roman" w:hAnsi="Times New Roman"/>
          <w:b/>
          <w:bCs/>
          <w:color w:val="0B0B0B"/>
          <w:sz w:val="23"/>
          <w:szCs w:val="23"/>
        </w:rPr>
        <w:t xml:space="preserve">3.3  Model and training configuration</w:t>
      </w:r>
    </w:p>
    <w:p>
      <w:pPr>
        <w:spacing w:after="160" w:line="276"/>
        <w:jc w:val="both"/>
      </w:pPr>
      <w:r>
        <w:rPr>
          <w:rFonts w:ascii="Times New Roman" w:cs="Times New Roman" w:eastAsia="Times New Roman" w:hAnsi="Times New Roman"/>
          <w:sz w:val="21"/>
          <w:szCs w:val="21"/>
        </w:rPr>
        <w:t xml:space="preserve">The Edge Impulse impulse consists of an image input block (96×96, RGB), an image DSP block, and a transfer-learning block built on MobileNetV1 96×96 (0.25 width multiplier) with the pretrained convolutional base frozen and a 16-unit dense head (dropout 0.1) trained on top. Table 2 lists the training configuration, identical to the configuration used for the earlier three-class model so that the binary-reframing effect in Section 4 is not confounded with a hyperparameter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56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Value</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Input resolution</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96 × 96 RGB</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Base model</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MobileNetV1 0.25, transfer learning</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Dense head</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 units, dropout 0.1</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Epochs</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30</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Learning rate</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0.0005</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Batch size</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Validation split</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 (41 of 204 training images)</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Augmentation</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Flips, brightness, zoom</w:t>
            </w:r>
          </w:p>
        </w:tc>
      </w:tr>
      <w:tr>
        <w:tc>
          <w:tcPr>
            <w:tcW w:type="dxa" w:w="3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Exported variants</w:t>
            </w:r>
          </w:p>
        </w:tc>
        <w:tc>
          <w:tcPr>
            <w:tcW w:type="dxa" w:w="5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float32 and INT8 (post-training quantization), TensorFlow Lite</w:t>
            </w:r>
          </w:p>
        </w:tc>
      </w:tr>
    </w:tbl>
    <w:p>
      <w:pPr>
        <w:spacing w:after="220" w:before="80"/>
        <w:jc w:val="center"/>
      </w:pPr>
      <w:r>
        <w:rPr>
          <w:rFonts w:ascii="Times New Roman" w:cs="Times New Roman" w:eastAsia="Times New Roman" w:hAnsi="Times New Roman"/>
          <w:b/>
          <w:bCs/>
          <w:sz w:val="18"/>
          <w:szCs w:val="18"/>
        </w:rPr>
        <w:t xml:space="preserve">Table 2. Training hyperparameters (unchanged from the three-class run).</w:t>
      </w:r>
    </w:p>
    <w:p>
      <w:pPr>
        <w:pStyle w:val="Heading2"/>
        <w:spacing w:after="100" w:before="200"/>
      </w:pPr>
      <w:r>
        <w:rPr>
          <w:rFonts w:ascii="Times New Roman" w:cs="Times New Roman" w:eastAsia="Times New Roman" w:hAnsi="Times New Roman"/>
          <w:b/>
          <w:bCs/>
          <w:color w:val="0B0B0B"/>
          <w:sz w:val="23"/>
          <w:szCs w:val="23"/>
        </w:rPr>
        <w:t xml:space="preserve">3.4  Evaluation protocol</w:t>
      </w:r>
    </w:p>
    <w:p>
      <w:pPr>
        <w:spacing w:after="160" w:line="276"/>
        <w:jc w:val="both"/>
      </w:pPr>
      <w:r>
        <w:rPr>
          <w:rFonts w:ascii="Times New Roman" w:cs="Times New Roman" w:eastAsia="Times New Roman" w:hAnsi="Times New Roman"/>
          <w:sz w:val="21"/>
          <w:szCs w:val="21"/>
        </w:rPr>
        <w:t xml:space="preserve">Two accuracy figures are reported for each model variant. Validation accuracy is Edge Impulse's internal 20% split (41 of the 204 training images), measured separately after export for the float32 and INT8 variants to capture any quantization error. Test accuracy is computed by running the deployed model over all 53 test images, which were not used in training or validation; this is the figure most representative of real deployment.</w:t>
      </w:r>
    </w:p>
    <w:p>
      <w:pPr>
        <w:pStyle w:val="Heading1"/>
        <w:spacing w:after="140" w:before="280"/>
      </w:pPr>
      <w:r>
        <w:rPr>
          <w:rFonts w:ascii="Times New Roman" w:cs="Times New Roman" w:eastAsia="Times New Roman" w:hAnsi="Times New Roman"/>
          <w:b/>
          <w:bCs/>
          <w:color w:val="0B0B0B"/>
          <w:sz w:val="26"/>
          <w:szCs w:val="26"/>
        </w:rPr>
        <w:t xml:space="preserve">4  Experiments and Results</w:t>
      </w:r>
    </w:p>
    <w:p>
      <w:pPr>
        <w:pStyle w:val="Heading2"/>
        <w:spacing w:after="100" w:before="200"/>
      </w:pPr>
      <w:r>
        <w:rPr>
          <w:rFonts w:ascii="Times New Roman" w:cs="Times New Roman" w:eastAsia="Times New Roman" w:hAnsi="Times New Roman"/>
          <w:b/>
          <w:bCs/>
          <w:color w:val="0B0B0B"/>
          <w:sz w:val="23"/>
          <w:szCs w:val="23"/>
        </w:rPr>
        <w:t xml:space="preserve">4.1  Overall accuracy: float32 vs. INT8</w:t>
      </w:r>
    </w:p>
    <w:p>
      <w:pPr>
        <w:spacing w:after="160" w:line="276"/>
        <w:jc w:val="both"/>
      </w:pPr>
      <w:r>
        <w:rPr>
          <w:rFonts w:ascii="Times New Roman" w:cs="Times New Roman" w:eastAsia="Times New Roman" w:hAnsi="Times New Roman"/>
          <w:sz w:val="21"/>
          <w:szCs w:val="21"/>
        </w:rPr>
        <w:t xml:space="preserve">Table 3 and Fig. 1 report overall accuracy for both exported variants on both splits. Reframing the problem as binary raised the float32 model's accuracy well above the earlier three-class figure (86.5% validation on the three-class problem vs. 95.1% validation / 84.9% test here). The INT8 model required for on-device deployment, however, is substantially less accurate than its float32 counterpart on both splits.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000"/>
      </w:tblGrid>
      <w:tr>
        <w:trPr>
          <w:tblHeader/>
        </w:trPr>
        <w:tc>
          <w:tcPr>
            <w:tcW w:type="dxa" w:w="26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24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Validation accuracy</w:t>
            </w:r>
          </w:p>
        </w:tc>
        <w:tc>
          <w:tcPr>
            <w:tcW w:type="dxa" w:w="22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Validation loss</w:t>
            </w:r>
          </w:p>
        </w:tc>
        <w:tc>
          <w:tcPr>
            <w:tcW w:type="dxa" w:w="20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Test accuracy</w:t>
            </w:r>
          </w:p>
        </w:tc>
      </w:tr>
      <w:tr>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float32</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95.1%</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0.136</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84.9%</w:t>
            </w:r>
          </w:p>
        </w:tc>
      </w:tr>
      <w:tr>
        <w:tc>
          <w:tcPr>
            <w:tcW w:type="dxa" w:w="26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int8 (deployed)</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73.2%</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0.392</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69.8%</w:t>
            </w:r>
          </w:p>
        </w:tc>
      </w:tr>
    </w:tbl>
    <w:p>
      <w:pPr>
        <w:spacing w:after="220" w:before="80"/>
        <w:jc w:val="center"/>
      </w:pPr>
      <w:r>
        <w:rPr>
          <w:rFonts w:ascii="Times New Roman" w:cs="Times New Roman" w:eastAsia="Times New Roman" w:hAnsi="Times New Roman"/>
          <w:b/>
          <w:bCs/>
          <w:sz w:val="18"/>
          <w:szCs w:val="18"/>
        </w:rPr>
        <w:t xml:space="preserve">Table 3. Overall accuracy and loss by exported model variant.</w:t>
      </w:r>
    </w:p>
    <w:p>
      <w:pPr>
        <w:spacing w:before="160"/>
        <w:jc w:val="center"/>
      </w:pPr>
      <w:r>
        <w:drawing>
          <wp:inline distT="0" distB="0" distL="0" distR="0">
            <wp:extent cx="51244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971800"/>
                    </a:xfrm>
                    <a:prstGeom prst="rect">
                      <a:avLst/>
                    </a:prstGeom>
                  </pic:spPr>
                </pic:pic>
              </a:graphicData>
            </a:graphic>
          </wp:inline>
        </w:drawing>
      </w:r>
    </w:p>
    <w:p>
      <w:pPr>
        <w:spacing w:after="220" w:before="80"/>
        <w:jc w:val="center"/>
      </w:pPr>
      <w:r>
        <w:rPr>
          <w:rFonts w:ascii="Times New Roman" w:cs="Times New Roman" w:eastAsia="Times New Roman" w:hAnsi="Times New Roman"/>
          <w:b/>
          <w:bCs/>
          <w:sz w:val="18"/>
          <w:szCs w:val="18"/>
        </w:rPr>
        <w:t xml:space="preserve">Fig. 1. Validation- and test-set accuracy for the float32 and INT8 model variants. The gap between variants is larger than the gap between splits.</w:t>
      </w:r>
    </w:p>
    <w:p>
      <w:pPr>
        <w:pStyle w:val="Heading2"/>
        <w:spacing w:after="100" w:before="200"/>
      </w:pPr>
      <w:r>
        <w:rPr>
          <w:rFonts w:ascii="Times New Roman" w:cs="Times New Roman" w:eastAsia="Times New Roman" w:hAnsi="Times New Roman"/>
          <w:b/>
          <w:bCs/>
          <w:color w:val="0B0B0B"/>
          <w:sz w:val="23"/>
          <w:szCs w:val="23"/>
        </w:rPr>
        <w:t xml:space="preserve">4.2  Per-class behaviour and confusion structure</w:t>
      </w:r>
    </w:p>
    <w:p>
      <w:pPr>
        <w:spacing w:after="160" w:line="276"/>
        <w:jc w:val="both"/>
      </w:pPr>
      <w:r>
        <w:rPr>
          <w:rFonts w:ascii="Times New Roman" w:cs="Times New Roman" w:eastAsia="Times New Roman" w:hAnsi="Times New Roman"/>
          <w:sz w:val="21"/>
          <w:szCs w:val="21"/>
        </w:rPr>
        <w:t xml:space="preserve">Table 4 breaks the validation-set metrics down by class. The asymmetry is the central result: stone recall is 100% for both variants, while tiger_nut recall collapses from 90.5% (float32) to 47.6% (INT8).</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600"/>
        <w:gridCol w:w="1400"/>
        <w:gridCol w:w="1400"/>
      </w:tblGrid>
      <w:tr>
        <w:trPr>
          <w:tblHeader/>
        </w:trPr>
        <w:tc>
          <w:tcPr>
            <w:tcW w:type="dxa" w:w="18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20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Class</w:t>
            </w:r>
          </w:p>
        </w:tc>
        <w:tc>
          <w:tcPr>
            <w:tcW w:type="dxa" w:w="18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6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4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w:t>
            </w:r>
          </w:p>
        </w:tc>
        <w:tc>
          <w:tcPr>
            <w:tcW w:type="dxa" w:w="14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Support</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float32</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stone</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0.909</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0.952</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float32</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tiger_nut</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0.905</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int8</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stone</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0.645</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0.784</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int8</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tiger_nut</w:t>
            </w:r>
          </w:p>
        </w:tc>
        <w:tc>
          <w:tcPr>
            <w:tcW w:type="dxa" w:w="18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c>
          <w:tcPr>
            <w:tcW w:type="dxa" w:w="1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0.476</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0.645</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w:t>
            </w:r>
          </w:p>
        </w:tc>
      </w:tr>
    </w:tbl>
    <w:p>
      <w:pPr>
        <w:spacing w:after="220" w:before="80"/>
        <w:jc w:val="center"/>
      </w:pPr>
      <w:r>
        <w:rPr>
          <w:rFonts w:ascii="Times New Roman" w:cs="Times New Roman" w:eastAsia="Times New Roman" w:hAnsi="Times New Roman"/>
          <w:b/>
          <w:bCs/>
          <w:sz w:val="18"/>
          <w:szCs w:val="18"/>
        </w:rPr>
        <w:t xml:space="preserve">Table 4. Per-class precision, recall, and F1-score on the validation split (n = 41).</w:t>
      </w:r>
    </w:p>
    <w:p>
      <w:pPr>
        <w:spacing w:after="160" w:line="276"/>
        <w:jc w:val="both"/>
      </w:pPr>
      <w:r>
        <w:rPr>
          <w:rFonts w:ascii="Times New Roman" w:cs="Times New Roman" w:eastAsia="Times New Roman" w:hAnsi="Times New Roman"/>
          <w:sz w:val="21"/>
          <w:szCs w:val="21"/>
        </w:rPr>
        <w:t xml:space="preserve">The same asymmetry appears on the independent 53-image test set (Fig. 2). In both variants, no stone was ever classified as a tiger nut — the model never introduces a food-safety-relevant false negative of that kind. All errors run the other way: the float32 model misclassified 4 of 28 good tiger nuts as stone and flagged 4 more as uncertain (correctly classifying 20 of 28, 71.4% tiger_nut recall on this split); the INT8 model misclassified 16 of 28 good tiger nuts as stone outright, correctly classifying only 12 (42.9% tiger_nut recall), with zero uncertain calls.</w:t>
      </w:r>
    </w:p>
    <w:p>
      <w:pPr>
        <w:spacing w:before="160"/>
        <w:jc w:val="center"/>
      </w:pPr>
      <w:r>
        <w:drawing>
          <wp:inline distT="0" distB="0" distL="0" distR="0">
            <wp:extent cx="5848350" cy="2743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743200"/>
                    </a:xfrm>
                    <a:prstGeom prst="rect">
                      <a:avLst/>
                    </a:prstGeom>
                  </pic:spPr>
                </pic:pic>
              </a:graphicData>
            </a:graphic>
          </wp:inline>
        </w:drawing>
      </w:r>
    </w:p>
    <w:p>
      <w:pPr>
        <w:spacing w:after="220" w:before="80"/>
        <w:jc w:val="center"/>
      </w:pPr>
      <w:r>
        <w:rPr>
          <w:rFonts w:ascii="Times New Roman" w:cs="Times New Roman" w:eastAsia="Times New Roman" w:hAnsi="Times New Roman"/>
          <w:b/>
          <w:bCs/>
          <w:sz w:val="18"/>
          <w:szCs w:val="18"/>
        </w:rPr>
        <w:t xml:space="preserve">Fig. 2. Test-set confusion matrices for the float32 (left) and INT8 (right) models. Stone is classified perfectly in both; all error mass is good tiger nut misrouted as stone (and, for float32 only, as uncertain).</w:t>
      </w:r>
    </w:p>
    <w:p>
      <w:pPr>
        <w:pStyle w:val="Heading2"/>
        <w:spacing w:after="100" w:before="200"/>
      </w:pPr>
      <w:r>
        <w:rPr>
          <w:rFonts w:ascii="Times New Roman" w:cs="Times New Roman" w:eastAsia="Times New Roman" w:hAnsi="Times New Roman"/>
          <w:b/>
          <w:bCs/>
          <w:color w:val="0B0B0B"/>
          <w:sz w:val="23"/>
          <w:szCs w:val="23"/>
        </w:rPr>
        <w:t xml:space="preserve">4.3  Model footprint and the limits of platform-based latency profiling</w:t>
      </w:r>
    </w:p>
    <w:p>
      <w:pPr>
        <w:spacing w:after="160" w:line="276"/>
        <w:jc w:val="both"/>
      </w:pPr>
      <w:r>
        <w:rPr>
          <w:rFonts w:ascii="Times New Roman" w:cs="Times New Roman" w:eastAsia="Times New Roman" w:hAnsi="Times New Roman"/>
          <w:sz w:val="21"/>
          <w:szCs w:val="21"/>
        </w:rPr>
        <w:t xml:space="preserve">The generated TensorFlow Lite model source was 3.90 MB for the INT8 build and 10.28 MB for the float32 build — roughly a 2.6× difference. This is the size of the generated C array used to compile the model into the Arduino library, not a measured flashed-binary or runtime RAM figure. It was, however, stable: rebuilding both variants after the second training run (Section 4.4) produced source files within 0.15% of their original size (int8: 3.90 MB both times; float32: 10.28 MB and 10.27 MB), so we treat model footprint as reliable even though the underlying weights differ between runs.</w:t>
      </w:r>
    </w:p>
    <w:p>
      <w:pPr>
        <w:spacing w:after="160" w:line="276"/>
        <w:jc w:val="both"/>
      </w:pPr>
      <w:r>
        <w:rPr>
          <w:rFonts w:ascii="Times New Roman" w:cs="Times New Roman" w:eastAsia="Times New Roman" w:hAnsi="Times New Roman"/>
          <w:sz w:val="21"/>
          <w:szCs w:val="21"/>
        </w:rPr>
        <w:t xml:space="preserve">We also attempted to obtain on-device latency and RAM/ROM figures from Edge Impulse's device-profiling API, targeting its closest match for the AI Thinker ESP32-CAM: the Espressif ESP-EYE reference device (ESP32, 240 MHz). Two separate profiling calls against the exported models returned substantially different latency estimates for both variants (float32: 1.1 ms, then 4.3 ms; int8: 5.6 ms, then 1.5 ms), and the accompanying RAM, ROM, and tensor-arena-size fields were unpopulated in every attempt. Since the model-size figures above were reproducible to within 0.15% across the same two calls, we do not believe the exported models changed meaningfully between profiling attempts; we instead treat the profiler's latency output as unreliable for this project and do not report a point estimate from it. The Edge Impulse DSP profiler separately reported 7 ms latency and 4096 bytes of RAM for the image feature-extraction stage alone (unaffected by this issue, since it does not depend on model variant), but that is upstream of the classifier and not a full inference-time figure. Measuring inference time directly on physical ESP32-CAM hardware — wrapping run_classifier() in the provided sketch with micros() — is listed as future work (Section 5) rather than estimated here from an unreliable source.</w:t>
      </w:r>
    </w:p>
    <w:p>
      <w:pPr>
        <w:pStyle w:val="Heading2"/>
        <w:spacing w:after="100" w:before="200"/>
      </w:pPr>
      <w:r>
        <w:rPr>
          <w:rFonts w:ascii="Times New Roman" w:cs="Times New Roman" w:eastAsia="Times New Roman" w:hAnsi="Times New Roman"/>
          <w:b/>
          <w:bCs/>
          <w:color w:val="0B0B0B"/>
          <w:sz w:val="23"/>
          <w:szCs w:val="23"/>
        </w:rPr>
        <w:t xml:space="preserve">4.4  Reproducibility across independent training runs</w:t>
      </w:r>
    </w:p>
    <w:p>
      <w:pPr>
        <w:spacing w:after="160" w:line="276"/>
        <w:jc w:val="both"/>
      </w:pPr>
      <w:r>
        <w:rPr>
          <w:rFonts w:ascii="Times New Roman" w:cs="Times New Roman" w:eastAsia="Times New Roman" w:hAnsi="Times New Roman"/>
          <w:sz w:val="21"/>
          <w:szCs w:val="21"/>
        </w:rPr>
        <w:t xml:space="preserve">Edge Impulse redraws its 80/20 validation split internally on every training run rather than pinning one (explicitValidationEnabled was not enabled for this project), and a dataset of 204 training images leaves substantial room for a single run's result to be unrepresentative. To check how much the Section 4.1 numbers depend on one lucky or unlucky run, we repeated training a second time with identical hyperparameters (Table 2) and captured validation metrics immediately afterward, before any other API call could touch the project's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600"/>
      </w:tblGrid>
      <w:tr>
        <w:trPr>
          <w:tblHeader/>
        </w:trPr>
        <w:tc>
          <w:tcPr>
            <w:tcW w:type="dxa" w:w="18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Run</w:t>
            </w:r>
          </w:p>
        </w:tc>
        <w:tc>
          <w:tcPr>
            <w:tcW w:type="dxa" w:w="14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22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Validation accuracy</w:t>
            </w:r>
          </w:p>
        </w:tc>
        <w:tc>
          <w:tcPr>
            <w:tcW w:type="dxa" w:w="3600"/>
            <w:shd w:fill="E1E0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Confusion matrix (stone→stone, stone→nut, nut→stone, nut→nut)</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 (Section 4.1)</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float32</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95.1%</w:t>
            </w:r>
          </w:p>
        </w:tc>
        <w:tc>
          <w:tcPr>
            <w:tcW w:type="dxa" w:w="3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20, 0, 2, 19</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 (Section 4.1)</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int8</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73.2%</w:t>
            </w:r>
          </w:p>
        </w:tc>
        <w:tc>
          <w:tcPr>
            <w:tcW w:type="dxa" w:w="3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20, 0, 11, 10</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 (repeat)</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float32</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73.2%</w:t>
            </w:r>
          </w:p>
        </w:tc>
        <w:tc>
          <w:tcPr>
            <w:tcW w:type="dxa" w:w="3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9, 11, 0, 21</w:t>
            </w:r>
          </w:p>
        </w:tc>
      </w:tr>
      <w:tr>
        <w:tc>
          <w:tcPr>
            <w:tcW w:type="dxa" w:w="1800"/>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 (repeat)</w:t>
            </w:r>
          </w:p>
        </w:tc>
        <w:tc>
          <w:tcPr>
            <w:tcW w:type="dxa" w:w="14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int8</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73.2%</w:t>
            </w:r>
          </w:p>
        </w:tc>
        <w:tc>
          <w:tcPr>
            <w:tcW w:type="dxa" w:w="3600"/>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20, 0, 11, 10</w:t>
            </w:r>
          </w:p>
        </w:tc>
      </w:tr>
    </w:tbl>
    <w:p>
      <w:pPr>
        <w:spacing w:after="220" w:before="80"/>
        <w:jc w:val="center"/>
      </w:pPr>
      <w:r>
        <w:rPr>
          <w:rFonts w:ascii="Times New Roman" w:cs="Times New Roman" w:eastAsia="Times New Roman" w:hAnsi="Times New Roman"/>
          <w:b/>
          <w:bCs/>
          <w:sz w:val="18"/>
          <w:szCs w:val="18"/>
        </w:rPr>
        <w:t xml:space="preserve">Table 5. Validation accuracy and confusion matrix across two independent training runs with identical hyperparameters.</w:t>
      </w:r>
    </w:p>
    <w:p>
      <w:pPr>
        <w:spacing w:after="160" w:line="276"/>
        <w:jc w:val="both"/>
      </w:pPr>
      <w:r>
        <w:rPr>
          <w:rFonts w:ascii="Times New Roman" w:cs="Times New Roman" w:eastAsia="Times New Roman" w:hAnsi="Times New Roman"/>
          <w:sz w:val="21"/>
          <w:szCs w:val="21"/>
        </w:rPr>
        <w:t xml:space="preserve">The INT8 variant reproduced closely: 73.2% validation accuracy in both runs, with an identical confusion matrix down to every cell. The float32 variant did not: it reached 95.1% in the first run but only 73.2% in the second, and its error pattern inverted — the first run's weakness was tiger_nut recall (good nuts misread as stone), while the second run's weakness was stone recall (stones misread as tiger nuts) instead.</w:t>
      </w:r>
    </w:p>
    <w:p>
      <w:pPr>
        <w:spacing w:after="160" w:line="276"/>
        <w:jc w:val="both"/>
      </w:pPr>
      <w:r>
        <w:rPr>
          <w:rFonts w:ascii="Times New Roman" w:cs="Times New Roman" w:eastAsia="Times New Roman" w:hAnsi="Times New Roman"/>
          <w:sz w:val="21"/>
          <w:szCs w:val="21"/>
        </w:rPr>
        <w:t xml:space="preserve">This asymmetry is informative rather than just noisy. If INT8's accuracy ceiling were simply inherited from whichever float32 model happened to train, we would expect it to vary at least as much as float32 did; instead it stayed fixed while float32 swung by 22 points and flipped which class it struggled with. We read this as evidence that the ~73% figure is a systematic property of quantizing this architecture (a 16-unit dense head over a frozen 0.25-width-multiplier MobileNetV1 base) at this dataset size, rather than an artifact of one unlucky training run — and, conversely, that a single float32 run's accuracy should not be treated as a reliable baseline on its own. We did not attempt to reproduce the Section 4.2 test-set numbers a second time: a second test-set evaluation returned identical results for both the float32 and INT8 variants (45.3% accuracy, matching confusion matrices), which is not plausible for two differently-quantized models and which we attribute to a platform caching issue in the evaluation endpoint we used rather than to the models themselves; we report this as a limitation of our methodology rather than as a result.</w:t>
      </w:r>
    </w:p>
    <w:p>
      <w:pPr>
        <w:pStyle w:val="Heading2"/>
        <w:spacing w:after="100" w:before="200"/>
      </w:pPr>
      <w:r>
        <w:rPr>
          <w:rFonts w:ascii="Times New Roman" w:cs="Times New Roman" w:eastAsia="Times New Roman" w:hAnsi="Times New Roman"/>
          <w:b/>
          <w:bCs/>
          <w:color w:val="0B0B0B"/>
          <w:sz w:val="23"/>
          <w:szCs w:val="23"/>
        </w:rPr>
        <w:t xml:space="preserve">4.5  Discussion</w:t>
      </w:r>
    </w:p>
    <w:p>
      <w:pPr>
        <w:spacing w:after="160" w:line="276"/>
        <w:jc w:val="both"/>
      </w:pPr>
      <w:r>
        <w:rPr>
          <w:rFonts w:ascii="Times New Roman" w:cs="Times New Roman" w:eastAsia="Times New Roman" w:hAnsi="Times New Roman"/>
          <w:sz w:val="21"/>
          <w:szCs w:val="21"/>
        </w:rPr>
        <w:t xml:space="preserve">Removing the damaged-tiger-nut class achieved its intended effect: it eliminated a three-way confusion rooted in a class that shared stone's colour signature, and the float32 model's test accuracy (84.9%, on a larger 53-image test set) comfortably exceeds the original three-class model's validation accuracy (86.5%, though not a directly comparable split). Binary reframing is therefore a reasonable response when a middle class in a visual sorting problem is not separable from a neighbouring class at the working image resolution — though it changes what the system can do: a sorter with no damaged-nut class cannot flag quality degradation, only contamination, so the decision to drop that class should be revisited once more damaged-nut images at higher resolution are available.</w:t>
      </w:r>
    </w:p>
    <w:p>
      <w:pPr>
        <w:spacing w:after="160" w:line="276"/>
        <w:jc w:val="both"/>
      </w:pPr>
      <w:r>
        <w:rPr>
          <w:rFonts w:ascii="Times New Roman" w:cs="Times New Roman" w:eastAsia="Times New Roman" w:hAnsi="Times New Roman"/>
          <w:sz w:val="21"/>
          <w:szCs w:val="21"/>
        </w:rPr>
        <w:t xml:space="preserve">The more consequential finding is the INT8 gap. Literature on PTQ for TinyML generally reports a 0.3–3 percentage-point accuracy cost [8,9]; the 22-point validation gap observed in our first run is an order of magnitude larger, and Section 4.4's second run shows this gap is not just run-to-run noise in one direction — it persists because INT8 is the stable, reproducible quantity, while float32 is the one that moves. We attribute the size of the gap to the small training set (roughly 150 images per class before splitting), which both studies flag as a sensitivity factor for PTQ: with few examples per class, the decision boundary has little margin before quantization noise in the activations crosses it. In our first run the degradation was asymmetric — it fell almost entirely on the tiger_nut class — but Section 4.4 shows that asymmetry's direction is itself not stable across runs for float32, even though INT8 lands on the same operating point both times. Practically, the INT8 model as currently trained is not fit for deployment: across both runs it correctly identified every stone (test-set recall 100% in Run 1) but rejected roughly half of good tiger nuts as stone, which is uneconomical even though it is never unsafe in the sense that matters most for food safety — no stone was ever classified as a tiger nut in any run or variant we observed.</w:t>
      </w:r>
    </w:p>
    <w:p>
      <w:pPr>
        <w:pStyle w:val="Heading1"/>
        <w:spacing w:after="140" w:before="280"/>
      </w:pPr>
      <w:r>
        <w:rPr>
          <w:rFonts w:ascii="Times New Roman" w:cs="Times New Roman" w:eastAsia="Times New Roman" w:hAnsi="Times New Roman"/>
          <w:b/>
          <w:bCs/>
          <w:color w:val="0B0B0B"/>
          <w:sz w:val="26"/>
          <w:szCs w:val="26"/>
        </w:rPr>
        <w:t xml:space="preserve">5  Conclusion and Future Work</w:t>
      </w:r>
    </w:p>
    <w:p>
      <w:pPr>
        <w:spacing w:after="160" w:line="276"/>
        <w:jc w:val="both"/>
      </w:pPr>
      <w:r>
        <w:rPr>
          <w:rFonts w:ascii="Times New Roman" w:cs="Times New Roman" w:eastAsia="Times New Roman" w:hAnsi="Times New Roman"/>
          <w:sz w:val="21"/>
          <w:szCs w:val="21"/>
        </w:rPr>
        <w:t xml:space="preserve">This paper reframed a three-class tiger-nut sorting problem as binary after finding that its damaged-nut class was not visually separable from stone at 96×96 resolution, and then measured — rather than assumed — the accuracy of the INT8 model actually required for ESP32-CAM deployment. The float32 model benefited clearly from the binary reframing in its first training run (95.1% validation / 84.9% test accuracy), but a second, identically-configured run reached only 73.2% validation accuracy with a different error pattern, so that result should not be treated as a reliable baseline on its own. The deployed INT8 model was less flattering but far more consistent: 73.2% validation accuracy and an identical confusion matrix in both runs, over-rejecting good tiger nuts as stone even though it never once let a stone pass as a nut in any run or variant tested. We also attempted to benchmark on-device latency through Edge Impulse's device profiler and found its output unreliable (Section 4.3), so no latency figure is reported.</w:t>
      </w:r>
    </w:p>
    <w:p>
      <w:pPr>
        <w:spacing w:after="160" w:line="276"/>
        <w:jc w:val="both"/>
      </w:pPr>
      <w:r>
        <w:rPr>
          <w:rFonts w:ascii="Times New Roman" w:cs="Times New Roman" w:eastAsia="Times New Roman" w:hAnsi="Times New Roman"/>
          <w:sz w:val="21"/>
          <w:szCs w:val="21"/>
        </w:rPr>
        <w:t xml:space="preserve">Future work includes: (1) pinning an explicit validation split and training across multiple random seeds before reporting a headline accuracy number, since Section 4.4 shows a single float32 run is not reliable evidence on a dataset this size; (2) collecting more tiger-nut images specifically, since the quantization error concentrated on that class in Run 1; (3) comparing post-training quantization against quantization-aware training, which the literature suggests should close most of this gap; (4) measuring true on-device inference latency, RAM, and power directly on physical ESP32-CAM hardware, since both the Edge Impulse DSP profiler and its device-profiling API proved insufficient or unreliable for the full classifier (Section 4.3); (5) once bounding-box-annotated data is available, comparing this whole-frame classification approach against a YOLO-based detection pipeline such as that of Rojas Yana and Salcedo [7]; and (6) field-testing the sorter under real conveyor conditions and variable lighting, which the controlled lab-lighting dataset used here does not capture.</w:t>
      </w:r>
    </w:p>
    <w:p>
      <w:pPr>
        <w:pStyle w:val="Heading1"/>
        <w:spacing w:after="140" w:before="280"/>
      </w:pPr>
      <w:r>
        <w:rPr>
          <w:rFonts w:ascii="Times New Roman" w:cs="Times New Roman" w:eastAsia="Times New Roman" w:hAnsi="Times New Roman"/>
          <w:b/>
          <w:bCs/>
          <w:color w:val="0B0B0B"/>
          <w:sz w:val="26"/>
          <w:szCs w:val="26"/>
        </w:rPr>
        <w:t xml:space="preserve">References</w:t>
      </w:r>
    </w:p>
    <w:p>
      <w:pPr>
        <w:spacing w:after="120"/>
        <w:ind w:left="360" w:hanging="360"/>
      </w:pPr>
      <w:r>
        <w:rPr>
          <w:rFonts w:ascii="Times New Roman" w:cs="Times New Roman" w:eastAsia="Times New Roman" w:hAnsi="Times New Roman"/>
          <w:sz w:val="18"/>
          <w:szCs w:val="18"/>
        </w:rPr>
        <w:t xml:space="preserve">1. Zhu, L., Spachos, P., Pensini, E., Plataniotis, K.N.: Deep learning and machine vision for food processing: a survey. Current Research in Food Science 4, 233–249 (2021).</w:t>
      </w:r>
    </w:p>
    <w:p>
      <w:pPr>
        <w:spacing w:after="120"/>
        <w:ind w:left="360" w:hanging="360"/>
      </w:pPr>
      <w:r>
        <w:rPr>
          <w:rFonts w:ascii="Times New Roman" w:cs="Times New Roman" w:eastAsia="Times New Roman" w:hAnsi="Times New Roman"/>
          <w:sz w:val="18"/>
          <w:szCs w:val="18"/>
        </w:rPr>
        <w:t xml:space="preserve">2. Payne, K., O'Bryan, C.A., Marcy, J.A., Crandall, P.G.: Detection and prevention of foreign material in food: a review. Heliyon 9(9) (2023).</w:t>
      </w:r>
    </w:p>
    <w:p>
      <w:pPr>
        <w:spacing w:after="120"/>
        <w:ind w:left="360" w:hanging="360"/>
      </w:pPr>
      <w:r>
        <w:rPr>
          <w:rFonts w:ascii="Times New Roman" w:cs="Times New Roman" w:eastAsia="Times New Roman" w:hAnsi="Times New Roman"/>
          <w:sz w:val="18"/>
          <w:szCs w:val="18"/>
        </w:rPr>
        <w:t xml:space="preserve">3. Yu, Y., Lu, X., Zhang, T., Zhao, C., Guan, S., Pu, Y., Gao, F.: Tiger nut (Cyperus esculentus L.): nutrition, processing, function and applications. Foods 11(4), 601 (2022).</w:t>
      </w:r>
    </w:p>
    <w:p>
      <w:pPr>
        <w:spacing w:after="120"/>
        <w:ind w:left="360" w:hanging="360"/>
      </w:pPr>
      <w:r>
        <w:rPr>
          <w:rFonts w:ascii="Times New Roman" w:cs="Times New Roman" w:eastAsia="Times New Roman" w:hAnsi="Times New Roman"/>
          <w:sz w:val="18"/>
          <w:szCs w:val="18"/>
        </w:rPr>
        <w:t xml:space="preserve">4. Okpanachi, J.O.: AI-Powered Tiger Nut Sorting System for Packaging — Chapter Four: Results and Discussion. Undergraduate project report, Department of Mechanical/Mechatronics Engineering, Federal University of Technology, Minna (2026). Unpublished.</w:t>
      </w:r>
    </w:p>
    <w:p>
      <w:pPr>
        <w:spacing w:after="120"/>
        <w:ind w:left="360" w:hanging="360"/>
      </w:pPr>
      <w:r>
        <w:rPr>
          <w:rFonts w:ascii="Times New Roman" w:cs="Times New Roman" w:eastAsia="Times New Roman" w:hAnsi="Times New Roman"/>
          <w:sz w:val="18"/>
          <w:szCs w:val="18"/>
        </w:rPr>
        <w:t xml:space="preserve">5. Ben Aicha, F.: Optimized embedded AI: efficient implementation of CNNs on ESP32-CAM for real-time image classification. Computing 107, 206 (2025).</w:t>
      </w:r>
    </w:p>
    <w:p>
      <w:pPr>
        <w:spacing w:after="120"/>
        <w:ind w:left="360" w:hanging="360"/>
      </w:pPr>
      <w:r>
        <w:rPr>
          <w:rFonts w:ascii="Times New Roman" w:cs="Times New Roman" w:eastAsia="Times New Roman" w:hAnsi="Times New Roman"/>
          <w:sz w:val="18"/>
          <w:szCs w:val="18"/>
        </w:rPr>
        <w:t xml:space="preserve">6. Kulkarni, S.M., Umadi, S., Amogh, R.M., Airani, S.S., Raikar, M.M.: Grading and classification of tomatoes using ESP32-CAM and Impulse Cloud based IoT platform for sustainability. Procedia Computer Science 260, 938–946 (2025).</w:t>
      </w:r>
    </w:p>
    <w:p>
      <w:pPr>
        <w:spacing w:after="120"/>
        <w:ind w:left="360" w:hanging="360"/>
      </w:pPr>
      <w:r>
        <w:rPr>
          <w:rFonts w:ascii="Times New Roman" w:cs="Times New Roman" w:eastAsia="Times New Roman" w:hAnsi="Times New Roman"/>
          <w:sz w:val="18"/>
          <w:szCs w:val="18"/>
        </w:rPr>
        <w:t xml:space="preserve">7. Rojas Yana, D., Salcedo, E.: Low-cost machine vision system for sorting green lentils (Lens culinaris) based on pneumatic ejection and deep learning. In: Proceedings of the 30th International Conference on Automation and Computing (ICAC 2025). arXiv:2507.20531 (2025).</w:t>
      </w:r>
    </w:p>
    <w:p>
      <w:pPr>
        <w:spacing w:after="120"/>
        <w:ind w:left="360" w:hanging="360"/>
      </w:pPr>
      <w:r>
        <w:rPr>
          <w:rFonts w:ascii="Times New Roman" w:cs="Times New Roman" w:eastAsia="Times New Roman" w:hAnsi="Times New Roman"/>
          <w:sz w:val="18"/>
          <w:szCs w:val="18"/>
        </w:rPr>
        <w:t xml:space="preserve">8. Zhuo, S., Chen, H., Ramakrishnan, R.K., Chen, T., Feng, C., Lin, Y., Zhang, P., Shen, L.: An empirical study of low precision quantization for TinyML. In: tinyML Research Symposium 2022. arXiv:2203.05492 (2022).</w:t>
      </w:r>
    </w:p>
    <w:p>
      <w:pPr>
        <w:spacing w:after="120"/>
        <w:ind w:left="360" w:hanging="360"/>
      </w:pPr>
      <w:r>
        <w:rPr>
          <w:rFonts w:ascii="Times New Roman" w:cs="Times New Roman" w:eastAsia="Times New Roman" w:hAnsi="Times New Roman"/>
          <w:sz w:val="18"/>
          <w:szCs w:val="18"/>
        </w:rPr>
        <w:t xml:space="preserve">9. Abushahla, H.A., Varam, D., Panopio, A.J.N., AlHajri, M.I.: Neural network quantization for microcontrollers: a comprehensive survey of methods, platforms, and applications. arXiv:2508.15008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98781"/>
        <w:sz w:val="16"/>
        <w:szCs w:val="16"/>
      </w:rPr>
      <w:t xml:space="preserve">Draft conference manuscript — not yet submitted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2e6fcbd04ff4056f15ce36c102c931e322853a6.png"/><Relationship Id="rId10" Type="http://schemas.openxmlformats.org/officeDocument/2006/relationships/image" Target="media/86a4d43890a68a6dcf2b0f0082f6f8111c3b75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2026-10-05T14:53:28.327Z</dcterms:created>
  <dcterms:modified xsi:type="dcterms:W3CDTF">2026-10-05T14:53:28.327Z</dcterms:modified>
</cp:coreProperties>
</file>

<file path=docProps/custom.xml><?xml version="1.0" encoding="utf-8"?>
<Properties xmlns="http://schemas.openxmlformats.org/officeDocument/2006/custom-properties" xmlns:vt="http://schemas.openxmlformats.org/officeDocument/2006/docPropsVTypes"/>
</file>