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44"/>
        </w:rPr>
        <w:t>M-TRAVEL TOURS &amp; TRAVEL MARKETPLACE</w:t>
      </w:r>
    </w:p>
    <w:p>
      <w:pPr>
        <w:spacing w:after="240"/>
      </w:pPr>
      <w:r>
        <w:rPr>
          <w:rFonts w:ascii="Arial" w:hAnsi="Arial"/>
          <w:b/>
          <w:color w:val="D97706"/>
          <w:sz w:val="22"/>
        </w:rPr>
        <w:t>Enterprise Travel, Mobility &amp; Safari Platform for Kenya — Client Presentation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Target Market:</w:t>
            </w:r>
            <w:r>
              <w:rPr>
                <w:color w:val="475569"/>
                <w:sz w:val="18"/>
              </w:rPr>
              <w:t xml:space="preserve"> Kenya &amp; East Africa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Payment Gateway:</w:t>
            </w:r>
            <w:r>
              <w:rPr>
                <w:color w:val="475569"/>
                <w:sz w:val="18"/>
              </w:rPr>
              <w:t xml:space="preserve"> Safaricom M-Pesa (Daraja 2.0)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Security Standard:</w:t>
            </w:r>
            <w:r>
              <w:rPr>
                <w:color w:val="475569"/>
                <w:sz w:val="18"/>
              </w:rPr>
              <w:t xml:space="preserve"> JWT + RBAC + DB RLS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Key Contact:</w:t>
            </w:r>
            <w:r>
              <w:rPr>
                <w:color w:val="475569"/>
                <w:sz w:val="18"/>
              </w:rPr>
              <w:t xml:space="preserve"> Amos (0722374535)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Official Office:</w:t>
            </w:r>
            <w:r>
              <w:rPr>
                <w:color w:val="475569"/>
                <w:sz w:val="18"/>
              </w:rPr>
              <w:t xml:space="preserve"> 0207855558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8"/>
              </w:rPr>
              <w:t>Official Email:</w:t>
            </w:r>
            <w:r>
              <w:rPr>
                <w:color w:val="475569"/>
                <w:sz w:val="18"/>
              </w:rPr>
              <w:t xml:space="preserve"> safari@jambo.africa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0F172A"/>
          <w:sz w:val="28"/>
        </w:rPr>
        <w:t>1. Executive Summary &amp; Platform Purpose</w:t>
      </w:r>
    </w:p>
    <w:p>
      <w:pPr>
        <w:spacing w:after="120"/>
      </w:pPr>
      <w:r>
        <w:rPr>
          <w:color w:val="1E293B"/>
          <w:sz w:val="20"/>
        </w:rPr>
        <w:t>M-TRAVEL is a unified, multi-tenant digital travel ecosystem engineered specifically for the Kenyan and East African market. It eliminates traditional fragmentation by bringing four critical travel and transportation verticals into one single, high-performance platform: Vehicle Rentals &amp; Safari Cruisers, Scheduled Inter-County Bus Reservations, Curated Safari &amp; Holiday Tours, and Luxury Holiday Homes.</w:t>
      </w:r>
    </w:p>
    <w:p>
      <w:pPr>
        <w:spacing w:after="200"/>
      </w:pPr>
      <w:r>
        <w:rPr>
          <w:color w:val="1E293B"/>
          <w:sz w:val="20"/>
        </w:rPr>
        <w:t>By integrating instant Lipa Na M-Pesa STK Push payments, an automated escrow digital wallet for immediate owner payouts, multi-currency live conversion (KES, USD, EUR, GBP), and a signature interactive 3D Route Network Globe, M-Travel delivers a friction-free journey for travelers while empowering asset owners and operators with professional revenue tools.</w:t>
      </w:r>
    </w:p>
    <w:p>
      <w:pPr>
        <w:pStyle w:val="Heading1"/>
      </w:pPr>
      <w:r>
        <w:rPr>
          <w:rFonts w:ascii="Arial" w:hAnsi="Arial"/>
          <w:color w:val="0F172A"/>
          <w:sz w:val="28"/>
        </w:rPr>
        <w:t>2. Core Marketplace Verticals &amp; Features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1. Vehicle Rentals &amp; Safari Fleets</w:t>
      </w:r>
    </w:p>
    <w:p>
      <w:pPr>
        <w:pStyle w:val="ListBullet"/>
        <w:spacing w:after="60"/>
      </w:pPr>
      <w:r>
        <w:rPr>
          <w:color w:val="1E293B"/>
          <w:sz w:val="19"/>
        </w:rPr>
        <w:t>Fleet Diversity: Safari 4x4 Land Cruisers with pop-up roofs, Toyota Prado V8s, executive Toyota Alphard VIP lounges, Hiace Safari Vans, and standard economy sedans.</w:t>
      </w:r>
    </w:p>
    <w:p>
      <w:pPr>
        <w:pStyle w:val="ListBullet"/>
        <w:spacing w:after="60"/>
      </w:pPr>
      <w:r>
        <w:rPr>
          <w:color w:val="1E293B"/>
          <w:sz w:val="19"/>
        </w:rPr>
        <w:t>Smart Proximity &amp; Filters: Haversine GPS proximity search, real-time availability calendars, seat capacity, fuel type (Diesel/Petrol/Hybrid), and transmission filters.</w:t>
      </w:r>
    </w:p>
    <w:p>
      <w:pPr>
        <w:pStyle w:val="ListBullet"/>
        <w:spacing w:after="60"/>
      </w:pPr>
      <w:r>
        <w:rPr>
          <w:color w:val="1E293B"/>
          <w:sz w:val="19"/>
        </w:rPr>
        <w:t>Dynamic Pricing Engine: Automatic calculation based on rental duration, per-day and per-km pricing, chauffeur options, and insurance validation.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2. Scheduled Inter-County Bus &amp; Shuttle Reservations</w:t>
      </w:r>
    </w:p>
    <w:p>
      <w:pPr>
        <w:pStyle w:val="ListBullet"/>
        <w:spacing w:after="60"/>
      </w:pPr>
      <w:r>
        <w:rPr>
          <w:color w:val="1E293B"/>
          <w:sz w:val="19"/>
        </w:rPr>
        <w:t>Network Coverage: Major inter-county corridors (Nairobi ⇄ Mombasa, Kisumu, Nakuru, Eldoret).</w:t>
      </w:r>
    </w:p>
    <w:p>
      <w:pPr>
        <w:pStyle w:val="ListBullet"/>
        <w:spacing w:after="60"/>
      </w:pPr>
      <w:r>
        <w:rPr>
          <w:color w:val="1E293B"/>
          <w:sz w:val="19"/>
        </w:rPr>
        <w:t>Interactive Seat Selection: Visual seat map allowing travelers to pick exact window, aisle, or VIP captain seats.</w:t>
      </w:r>
    </w:p>
    <w:p>
      <w:pPr>
        <w:pStyle w:val="ListBullet"/>
        <w:spacing w:after="60"/>
      </w:pPr>
      <w:r>
        <w:rPr>
          <w:color w:val="1E293B"/>
          <w:sz w:val="19"/>
        </w:rPr>
        <w:t>Instant Digital Boarding Passes: Automatic generation of printable and scannable QR-code tickets.</w:t>
      </w:r>
    </w:p>
    <w:p>
      <w:pPr>
        <w:pStyle w:val="ListBullet"/>
        <w:spacing w:after="60"/>
      </w:pPr>
      <w:r>
        <w:rPr>
          <w:color w:val="1E293B"/>
          <w:sz w:val="19"/>
        </w:rPr>
        <w:t>Operator Scheduling: Dedicated scheduling tools for multi-carrier departure manifests and route pricing.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3. Curated Safari &amp; Holiday Tours</w:t>
      </w:r>
    </w:p>
    <w:p>
      <w:pPr>
        <w:pStyle w:val="ListBullet"/>
        <w:spacing w:after="60"/>
      </w:pPr>
      <w:r>
        <w:rPr>
          <w:color w:val="1E293B"/>
          <w:sz w:val="19"/>
        </w:rPr>
        <w:t>World-Class Expeditions: Multi-day safari packages (Maasai Mara Great Migration, Amboseli Elephant Odyssey, Diani Beach &amp; Wasini Dolphin Dhow Safari, Mt. Kenya Climb).</w:t>
      </w:r>
    </w:p>
    <w:p>
      <w:pPr>
        <w:pStyle w:val="ListBullet"/>
        <w:spacing w:after="60"/>
      </w:pPr>
      <w:r>
        <w:rPr>
          <w:color w:val="1E293B"/>
          <w:sz w:val="19"/>
        </w:rPr>
        <w:t>Verified Tour Operators: Certified guide badges, detailed day-by-day itineraries, inclusions/exclusions.</w:t>
      </w:r>
    </w:p>
    <w:p>
      <w:pPr>
        <w:pStyle w:val="ListBullet"/>
        <w:spacing w:after="60"/>
      </w:pPr>
      <w:r>
        <w:rPr>
          <w:color w:val="1E293B"/>
          <w:sz w:val="19"/>
        </w:rPr>
        <w:t>All-Inclusive Transparent Pricing: Real-time breakdowns including park fees, luxury tented camps, and game drives.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4. Holiday Homes &amp; Luxury Stays</w:t>
      </w:r>
    </w:p>
    <w:p>
      <w:pPr>
        <w:pStyle w:val="ListBullet"/>
        <w:spacing w:after="60"/>
      </w:pPr>
      <w:r>
        <w:rPr>
          <w:color w:val="1E293B"/>
          <w:sz w:val="19"/>
        </w:rPr>
        <w:t>Premium Accommodations: Diani beachfront villas, Karen colonial estates, Naivasha lakeview sanctuaries, and serviced city apartments.</w:t>
      </w:r>
    </w:p>
    <w:p>
      <w:pPr>
        <w:pStyle w:val="ListBullet"/>
        <w:spacing w:after="60"/>
      </w:pPr>
      <w:r>
        <w:rPr>
          <w:color w:val="1E293B"/>
          <w:sz w:val="19"/>
        </w:rPr>
        <w:t>County &amp; Amenity Search: Filtering by location, bedrooms, guest capacity, private pools, chef services, and Wi-Fi.</w:t>
      </w:r>
    </w:p>
    <w:p>
      <w:pPr>
        <w:pStyle w:val="ListBullet"/>
        <w:spacing w:after="60"/>
      </w:pPr>
      <w:r>
        <w:rPr>
          <w:color w:val="1E293B"/>
          <w:sz w:val="19"/>
        </w:rPr>
        <w:t>Direct Host Coordination: Instant confirmation, check-in instructions, and direct host messaging.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5. Native M-Pesa &amp; Digital Escrow Wallet</w:t>
      </w:r>
    </w:p>
    <w:p>
      <w:pPr>
        <w:pStyle w:val="ListBullet"/>
        <w:spacing w:after="60"/>
      </w:pPr>
      <w:r>
        <w:rPr>
          <w:color w:val="1E293B"/>
          <w:sz w:val="19"/>
        </w:rPr>
        <w:t>Lipa Na M-Pesa STK Push: Automated prompt sent directly to the customer's phone via Safaricom Daraja API.</w:t>
      </w:r>
    </w:p>
    <w:p>
      <w:pPr>
        <w:pStyle w:val="ListBullet"/>
        <w:spacing w:after="60"/>
      </w:pPr>
      <w:r>
        <w:rPr>
          <w:color w:val="1E293B"/>
          <w:sz w:val="19"/>
        </w:rPr>
        <w:t>Escrow Ledger: Securely holds booking funds until trip milestone completion.</w:t>
      </w:r>
    </w:p>
    <w:p>
      <w:pPr>
        <w:pStyle w:val="ListBullet"/>
        <w:spacing w:after="60"/>
      </w:pPr>
      <w:r>
        <w:rPr>
          <w:color w:val="1E293B"/>
          <w:sz w:val="19"/>
        </w:rPr>
        <w:t>Automated Owner Payouts: Instant B2C mobile money withdrawals directly to asset owners' M-Pesa accounts.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3. System Security Architecture &amp; Enforcement</w:t>
      </w:r>
    </w:p>
    <w:p>
      <w:pPr>
        <w:spacing w:after="160"/>
      </w:pPr>
      <w:r>
        <w:rPr>
          <w:sz w:val="20"/>
        </w:rPr>
        <w:t>M-Travel is protected through a multi-tiered cybersecurity perimeter designed on the principle of defense-in-depth: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Layer 1: Identity, Authentication &amp; Token Rotation</w:t>
      </w:r>
    </w:p>
    <w:p>
      <w:pPr>
        <w:pStyle w:val="ListBullet"/>
        <w:spacing w:after="60"/>
      </w:pPr>
      <w:r>
        <w:rPr>
          <w:color w:val="1E293B"/>
          <w:sz w:val="19"/>
        </w:rPr>
        <w:t>Dual-Token Architecture (JWT): Short-lived Access Tokens (15 min) limit exposure, while long-lived Refresh Tokens (7 days) provide seamless sessions.</w:t>
      </w:r>
    </w:p>
    <w:p>
      <w:pPr>
        <w:pStyle w:val="ListBullet"/>
        <w:spacing w:after="60"/>
      </w:pPr>
      <w:r>
        <w:rPr>
          <w:color w:val="1E293B"/>
          <w:sz w:val="19"/>
        </w:rPr>
        <w:t>Cryptographic Refresh Token Rotation: Refresh tokens are stored strictly as salted hashes (tokenHash) in PostgreSQL. Every renewal immediately revokes the previous token to prevent replay attacks.</w:t>
      </w:r>
    </w:p>
    <w:p>
      <w:pPr>
        <w:pStyle w:val="ListBullet"/>
        <w:spacing w:after="60"/>
      </w:pPr>
      <w:r>
        <w:rPr>
          <w:color w:val="1E293B"/>
          <w:sz w:val="19"/>
        </w:rPr>
        <w:t>High-Entropy Password Hashing: Uses Argon2 / Bcrypt with 12 computation rounds to render passwords resilient against brute-force and rainbow tables.</w:t>
      </w:r>
    </w:p>
    <w:p>
      <w:pPr>
        <w:pStyle w:val="ListBullet"/>
        <w:spacing w:after="60"/>
      </w:pPr>
      <w:r>
        <w:rPr>
          <w:color w:val="1E293B"/>
          <w:sz w:val="19"/>
        </w:rPr>
        <w:t>Device &amp; Session Auditing: The system monitors logins via the device_logins table, logging IP addresses, User-Agents, and timestamps to detect unauthorized account access.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Layer 2: Role-Based Access Control (RBAC) &amp; Ownership</w:t>
      </w:r>
    </w:p>
    <w:p>
      <w:pPr>
        <w:pStyle w:val="ListBullet"/>
        <w:spacing w:after="60"/>
      </w:pPr>
      <w:r>
        <w:rPr>
          <w:color w:val="1E293B"/>
          <w:sz w:val="19"/>
        </w:rPr>
        <w:t>Granular Roles: Gated via NestJS @Roles() decorators and RolesGuard across 8 specific roles (TRAVELER, TOURIST, VEHICLE_OWNER, BUS_COMPANY, TOUR_OPERATOR, HOME_OWNER, ADMIN, SUPER_ADMIN).</w:t>
      </w:r>
    </w:p>
    <w:p>
      <w:pPr>
        <w:pStyle w:val="ListBullet"/>
        <w:spacing w:after="60"/>
      </w:pPr>
      <w:r>
        <w:rPr>
          <w:color w:val="1E293B"/>
          <w:sz w:val="19"/>
        </w:rPr>
        <w:t>Resource Ownership Enforcement: The API strictly verifies that the authenticated user owns the target entity before executing state changes (e.g., owners can only manage their own listings; travelers can only cancel their own bookings).</w:t>
      </w:r>
    </w:p>
    <w:p>
      <w:pPr>
        <w:pStyle w:val="ListBullet"/>
        <w:spacing w:after="60"/>
      </w:pPr>
      <w:r>
        <w:rPr>
          <w:color w:val="1E293B"/>
          <w:sz w:val="19"/>
        </w:rPr>
        <w:t>Privilege Escalation Prevention: Administrative overrides and sensitive financial audits require explicit elevated administrator rights.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Layer 3: Database Row-Level Security (RLS)</w:t>
      </w:r>
    </w:p>
    <w:p>
      <w:pPr>
        <w:pStyle w:val="ListBullet"/>
        <w:spacing w:after="60"/>
      </w:pPr>
      <w:r>
        <w:rPr>
          <w:color w:val="1E293B"/>
          <w:sz w:val="19"/>
        </w:rPr>
        <w:t>PostgreSQL Row-Level Security (RLS): Table-level RLS policies are enabled across all core tables (wallets, payments, bookings, transactions, vehicle_alerts, audit_logs).</w:t>
      </w:r>
    </w:p>
    <w:p>
      <w:pPr>
        <w:pStyle w:val="ListBullet"/>
        <w:spacing w:after="60"/>
      </w:pPr>
      <w:r>
        <w:rPr>
          <w:color w:val="1E293B"/>
          <w:sz w:val="19"/>
        </w:rPr>
        <w:t>Relational Data Integrity: Strict foreign key constraints with explicit cascading policies (ON DELETE CASCADE / ON DELETE SET NULL) protect data consistency.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Layer 4: Network Hardening &amp; API Gateway Defenses</w:t>
      </w:r>
    </w:p>
    <w:p>
      <w:pPr>
        <w:pStyle w:val="ListBullet"/>
        <w:spacing w:after="60"/>
      </w:pPr>
      <w:r>
        <w:rPr>
          <w:color w:val="1E293B"/>
          <w:sz w:val="19"/>
        </w:rPr>
        <w:t>HTTP Security Headers (Helmet): Defends against XSS, clickjacking, MIME-type sniffing, and CSRF attacks.</w:t>
      </w:r>
    </w:p>
    <w:p>
      <w:pPr>
        <w:pStyle w:val="ListBullet"/>
        <w:spacing w:after="60"/>
      </w:pPr>
      <w:r>
        <w:rPr>
          <w:color w:val="1E293B"/>
          <w:sz w:val="19"/>
        </w:rPr>
        <w:t>Global Rate Limiting (Throttler): Throttles requests (100 requests / 60 seconds per IP) to prevent DDoS attacks and brute-force credential attacks.</w:t>
      </w:r>
    </w:p>
    <w:p>
      <w:pPr>
        <w:pStyle w:val="ListBullet"/>
        <w:spacing w:after="60"/>
      </w:pPr>
      <w:r>
        <w:rPr>
          <w:color w:val="1E293B"/>
          <w:sz w:val="19"/>
        </w:rPr>
        <w:t>Mass-Assignment &amp; Schema Validation: NestJS ValidationPipe with whitelist: true and forbidNonWhitelisted: true automatically strips and rejects unapproved payload parameters.</w:t>
      </w:r>
    </w:p>
    <w:p>
      <w:pPr>
        <w:pStyle w:val="ListBullet"/>
        <w:spacing w:after="60"/>
      </w:pPr>
      <w:r>
        <w:rPr>
          <w:color w:val="1E293B"/>
          <w:sz w:val="19"/>
        </w:rPr>
        <w:t>Centralized Exception Shielding: AllExceptionsFilter catches runtime errors and masks internal SQL queries and system stack traces from client responses.</w:t>
      </w:r>
    </w:p>
    <w:p>
      <w:pPr>
        <w:pStyle w:val="Heading2"/>
      </w:pPr>
      <w:r>
        <w:rPr>
          <w:rFonts w:ascii="Arial" w:hAnsi="Arial"/>
          <w:color w:val="0D9488"/>
          <w:sz w:val="22"/>
        </w:rPr>
        <w:t>Layer 5: Financial Security &amp; Anti-Fraud</w:t>
      </w:r>
    </w:p>
    <w:p>
      <w:pPr>
        <w:pStyle w:val="ListBullet"/>
        <w:spacing w:after="60"/>
      </w:pPr>
      <w:r>
        <w:rPr>
          <w:color w:val="1E293B"/>
          <w:sz w:val="19"/>
        </w:rPr>
        <w:t>Safaricom Daraja 2.0 Security: Encrypted OAuth 2.0 Client Credentials flow over TLS/HTTPS with dynamically generated Base64 passwords and cryptographic timestamping.</w:t>
      </w:r>
    </w:p>
    <w:p>
      <w:pPr>
        <w:pStyle w:val="ListBullet"/>
        <w:spacing w:after="60"/>
      </w:pPr>
      <w:r>
        <w:rPr>
          <w:color w:val="1E293B"/>
          <w:sz w:val="19"/>
        </w:rPr>
        <w:t>Double-Spending Protection: Wallet movements are recorded in an append-only transaction ledger with unique reference IDs.</w:t>
      </w:r>
    </w:p>
    <w:p>
      <w:pPr>
        <w:pStyle w:val="ListBullet"/>
        <w:spacing w:after="60"/>
      </w:pPr>
      <w:r>
        <w:rPr>
          <w:color w:val="1E293B"/>
          <w:sz w:val="19"/>
        </w:rPr>
        <w:t>Anti-Fraud Vehicle Alert System: Dedicated stolen vehicle registry (vehicle_alerts table and is_stolen flags) that prevents unauthorized bookings.</w:t>
      </w:r>
    </w:p>
    <w:p>
      <w:pPr>
        <w:pStyle w:val="Heading1"/>
      </w:pPr>
      <w:r>
        <w:rPr>
          <w:sz w:val="28"/>
        </w:rPr>
        <w:t>4.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6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6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Enterprise Benefit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Backend API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NestJS, TypeScript, Prisma ORM, Swagger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Modular architecture, type safety, auto-generated docs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PostgreSQL / Supabase, Row-Level Security, UUIDs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ACID transactional guarantees, bank-grade encryption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Frontend Client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React 18, Vite, TypeScript, TailwindCSS, Framer Motion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Sub-second load times, mobile-responsive, fluid UI</w:t>
            </w:r>
          </w:p>
        </w:tc>
      </w:tr>
      <w:tr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Visual Innovation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React Three Fiber, Three.js 3D Route Globe</w:t>
            </w:r>
          </w:p>
        </w:tc>
        <w:tc>
          <w:tcPr>
            <w:tcW w:type="dxa" w:w="3360"/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Signature 3D interactive Kenya route network visualizer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Payment Gateway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Safaricom Daraja 2.0 (Lipa Na M-Pesa STK Push, B2C)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8"/>
              </w:rPr>
              <w:t>Direct mobile money checkout and automated payouts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