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20617"/>
          <w:sz w:val="72"/>
          <w:szCs w:val="72"/>
        </w:rPr>
        <w:t xml:space="preserve">GRID</w:t>
      </w: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LINE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020617"/>
          <w:sz w:val="48"/>
          <w:szCs w:val="48"/>
        </w:rPr>
        <w:t xml:space="preserve">Financial Review</w:t>
      </w:r>
    </w:p>
    <w:p>
      <w:pPr>
        <w:spacing w:before="2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Asset - Irix DC-1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February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Overview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GridLine has completed a high-level review of financial and operational information provided for Irix DC-1. Based on this initial assessment, the asset demonstrates a viable pathway for GridLine platform integration.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DC-1 aligns with GridLine's aggregation strategy due to the following: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Cash-flow-positive operations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Underutilized capacity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Clear platform-scale upside potential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Key Financial Highlights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~$8.75M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REVENUE (FY2025)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~22%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100%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OWNERSHIP &amp; CONTROL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1.20 MW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POWER CAPACITY</w:t>
            </w:r>
          </w:p>
        </w:tc>
      </w:tr>
    </w:tbl>
    <w:p>
      <w:pPr>
        <w:spacing w:before="400"/>
      </w:pP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~25%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CURRENT UTILISATION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Capacity Utilisation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Designed Capacity vs Current Utilisation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25%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UTILISED CAPACITY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20617"/>
                <w:sz w:val="48"/>
                <w:szCs w:val="48"/>
              </w:rPr>
              <w:t xml:space="preserve">75%</w:t>
            </w:r>
          </w:p>
          <w:p>
            <w:pPr>
              <w:jc w:val="center"/>
            </w:pPr>
            <w:r>
              <w:rPr>
                <w:color w:val="475569"/>
                <w:sz w:val="20"/>
                <w:szCs w:val="20"/>
              </w:rPr>
              <w:t xml:space="preserve">AVAILABLE HEADROOM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Asset Strengths Identified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Embedded growth capacity without new land or greenfield development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Diversified end-market exposure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Anchor tenancy stability (SAINS – 11-year contract)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Operating leverage at current margins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Clean ownership structure enabling straightforward execution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Key Considerations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Customer concentration (top three customers ~83% of revenue)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Lease expiries clustered over the next 2–3 years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Revenue growth dependent on leasing execution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How GridLine Partnership Changes Value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Standalone data centres are typically valued on asset-level cash flow and concentration risk. Platform integration shifts the valuation lens toward scale, predictability, and capital efficiency.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This structural shift underpins GridLine's preferred transaction approach.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061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061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STANDALONE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061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INSIDE GRIDLINE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How it's valued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Based on DC1's EBITDA today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Based on platform scale and predictability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Concentrated in one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Spread across multiple assets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Capital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Raised asset by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Raised at platform level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Contracts &amp; Reporting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Custom, harder to finance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Standardised, easier to finance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Exit Options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Sell the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475569"/>
                <w:sz w:val="22"/>
                <w:szCs w:val="22"/>
              </w:rPr>
              <w:t xml:space="preserve">Multiple exit pathways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Why DC1 Is Worth More Inside GridLine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DC1 Enhanced Valuation Within GRIDLINE Platform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20617"/>
                <w:sz w:val="28"/>
                <w:szCs w:val="28"/>
              </w:rPr>
              <w:t xml:space="preserve">Standalone Asset</w:t>
            </w:r>
          </w:p>
          <w:p>
            <w:pPr>
              <w:spacing w:before="100"/>
              <w:jc w:val="center"/>
            </w:pPr>
            <w:r>
              <w:rPr>
                <w:color w:val="475569"/>
                <w:sz w:val="36"/>
                <w:szCs w:val="36"/>
              </w:rPr>
              <w:t xml:space="preserve">1x–3x Revenue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Platform Integration</w:t>
            </w:r>
          </w:p>
          <w:p>
            <w:pPr>
              <w:spacing w:before="100"/>
              <w:jc w:val="center"/>
            </w:pPr>
            <w:r>
              <w:rPr>
                <w:color w:val="FFFFFF"/>
                <w:sz w:val="36"/>
                <w:szCs w:val="36"/>
              </w:rPr>
              <w:t xml:space="preserve">8–10x Multiple</w:t>
            </w:r>
          </w:p>
          <w:p>
            <w:pPr>
              <w:spacing w:before="5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Institutional / Public Market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Partnership and Acquisition Options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The following options represent conceptual frameworks for discussion purposes only. They are not final terms and are subject to further negotiation, due diligence, and definitive documentation.</w:t>
      </w:r>
    </w:p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Primary Option: Vendor Finance with Platform Equity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Agreed enterprise valuation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Deferred consideration via vendor financing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Interest accrual over time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Repayment from free cash flow and/or platform-level liquidity events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Minority equity participation in GridLine</w:t>
      </w:r>
    </w:p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Alternative Option: Partial Cash / Partial Equity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Partial liquidity at close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Increased execution complexity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Longer timelines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Reduced alignment compared to Option 1</w:t>
      </w:r>
    </w:p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Fallback Option: All Equity Contribution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No immediate liquidity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Full exposure to early-stage platform risk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Limited alignment with GridLine governance objectives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Execution Credibility</w:t>
      </w:r>
    </w:p>
    <w:p>
      <w:pPr>
        <w:spacing w:after="2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For context, GridLine has a related platform operating under a similar aggregation model. To date, that platform has acquired four operating data centers: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4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OPERATING TIER II/III DCs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~$58M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MARKET CAP (INDICATIVE)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~$4M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ANNUAL REVENUE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12x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POST-IPO MULTIPLE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Portfolio Assets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1: Capacity 1.0 MW, Annual Revenue ~$0.5 million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2: Capacity 1.5 MW, Annual Revenue ~$1.2 million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3: Capacity 2.0 MW, Annual Revenue ~$1.6 million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4: Capacity 3.0 MW, Annual Revenue ~$1.8 million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Internal alignment on positioning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Exchange of additional financial and operational data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Preliminary term sheet development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Engagement of advisors for transaction structuring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Confidential  |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20617"/>
        <w:sz w:val="20"/>
        <w:szCs w:val="20"/>
      </w:rPr>
      <w:t xml:space="preserve">GRID</w:t>
    </w: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LINE</w:t>
    </w:r>
    <w:r>
      <w:rPr>
        <w:rFonts w:ascii="Arial" w:cs="Arial" w:eastAsia="Arial" w:hAnsi="Arial"/>
        <w:color w:val="475569"/>
        <w:sz w:val="20"/>
        <w:szCs w:val="20"/>
      </w:rPr>
      <w:t xml:space="preserve">  |  Financial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20617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2026-02-02T02:27:09.380Z</dcterms:created>
  <dcterms:modified xsi:type="dcterms:W3CDTF">2026-02-02T02:27:09.380Z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