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20617"/>
          <w:sz w:val="72"/>
          <w:szCs w:val="72"/>
        </w:rPr>
        <w:t xml:space="preserve">GRID</w:t>
      </w: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LINE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020617"/>
          <w:sz w:val="48"/>
          <w:szCs w:val="48"/>
        </w:rPr>
        <w:t xml:space="preserve">Financial Review Report</w:t>
      </w:r>
    </w:p>
    <w:p>
      <w:pPr>
        <w:spacing w:before="2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Irix DC-1 Asset Analysis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February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GridLine has completed a high-level review of financial and operational information provided for Irix DC-1. Based on this initial assessment, the asset demonstrates a viable pathway for GridLine platform integration.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DC-1 aligns with GridLine's aggregation strategy due to the following key attributes: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Cash-flow-positive operations with stable revenue base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Significant underutilized capacity representing embedded growth potential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Clear platform-scale upside through integration benefits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Platform integration shifts the valuation lens from asset-level cash flow toward scale, predictability, and capital efficiency—structural advantages that underpin GridLine's preferred transaction approach.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Asset Overview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Irix DC-1 Profile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Irix DC-1 is an operating data centre with established revenue streams and significant capacity headroom for future growth.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~$8.75M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REVENUE (FY2025)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~22%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100%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OWNERSHIP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1.20 MW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POWER CAPACITY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Capacity Analysis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Utilisation &amp; Growth Potential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The facility currently operates at approximately 25% of designed capacity, representing 75% available headroom for future growth without requiring new land acquisition or greenfield development.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25%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CURRENT UTILISATION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20617"/>
                <w:sz w:val="48"/>
                <w:szCs w:val="48"/>
              </w:rPr>
              <w:t xml:space="preserve">75%</w:t>
            </w:r>
          </w:p>
          <w:p>
            <w:pPr>
              <w:jc w:val="center"/>
            </w:pPr>
            <w:r>
              <w:rPr>
                <w:color w:val="475569"/>
                <w:sz w:val="20"/>
                <w:szCs w:val="20"/>
              </w:rPr>
              <w:t xml:space="preserve">AVAILABLE HEADROOM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Strategic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Asset Strengths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Embedded growth capacity without new land or greenfield development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Diversified end-market exposure across multiple sectors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Anchor tenancy stability (SAINS – 11-year contract)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Operating leverage at current margins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Clean ownership structure enabling straightforward execution</w:t>
      </w:r>
    </w:p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Key Considerations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Customer concentration – top three customers represent ~83% of revenue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Lease expiries clustered over the next 2–3 years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Revenue growth dependent on leasing execution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Platform Integration Value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How GridLine Partnership Changes Value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Standalone data centres are typically valued on asset-level cash flow and concentration risk. Platform integration shifts the valuation lens toward scale, predictability, and capital efficiency.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061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061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STANDALONE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061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INSIDE GRIDLINE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How it's valued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Based on DC1's EBITDA today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Based on platform scale and predictability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Concentrated in one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Spread across multiple assets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Capital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Raised asset by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Raised at platform level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Contracts &amp; Reporting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Custom, harder to finance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Standardised, easier to finance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Exit Options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Sell the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Multiple exit pathways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Valuation Enhancement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Integration into the GridLine platform positions DC-1 for institutional and public market valuations: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Standalone Asset: 1x–3x Revenue multiple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Platform Integration: 8–10x EBITDA multiple (Institutional/Public Market)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Partnership Options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The following options represent conceptual frameworks for discussion purposes only. They are not final terms and are subject to further negotiation, due diligence, and definitive documentation.</w:t>
      </w:r>
    </w:p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Option 1: Vendor Finance with Platform Equity (Primary)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Agreed enterprise valuation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Deferred consideration via vendor financing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Interest accrual over time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Repayment from free cash flow and/or platform-level liquidity events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Minority equity participation in GridLine</w:t>
      </w:r>
    </w:p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Option 2: Partial Cash / Partial Equity (Alternative)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Partial liquidity at close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Increased execution complexity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Longer timelines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Reduced alignment compared to Option 1</w:t>
      </w:r>
    </w:p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Option 3: All Equity Contribution (Fallback)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No immediate liquidity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Full exposure to early-stage platform risk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Limited alignment with GridLine governance objectives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Execution Track Record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For context, GridLine has a related platform operating under a similar aggregation model. To date, that platform has achieved: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4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OPERATING DCs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~$58M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MARKET CAP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~$4M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ANNUAL REVENUE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12x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POST-IPO MULTIPLE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Portfolio Overview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Asset 1: 1.0 MW capacity, ~$0.5M annual revenue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Asset 2: 1.5 MW capacity, ~$1.2M annual revenue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Asset 3: 2.0 MW capacity, ~$1.6M annual revenue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Asset 4: 3.0 MW capacity, ~$1.8M annual revenue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Next Steps &amp; Recommendations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To advance discussions and move toward a definitive agreement, the following steps are recommended:</w:t>
      </w:r>
    </w:p>
    <w:p>
      <w:pPr>
        <w:spacing w:before="20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Internal alignment on positioning and preferred transaction structure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Exchange of additional financial and operational data for detailed due diligence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Preliminary term sheet development based on Option 1 framework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Engagement of legal and financial advisors for transaction structuring</w:t>
      </w:r>
    </w:p>
    <w:p>
      <w:pPr>
        <w:spacing w:before="400"/>
      </w:pP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GridLine remains committed to a collaborative process that delivers value for all stakeholders while building toward platform-scale infrastructure investment.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Confidential  |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20617"/>
        <w:sz w:val="20"/>
        <w:szCs w:val="20"/>
      </w:rPr>
      <w:t xml:space="preserve">GRID</w:t>
    </w: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LINE</w:t>
    </w:r>
    <w:r>
      <w:rPr>
        <w:rFonts w:ascii="Arial" w:cs="Arial" w:eastAsia="Arial" w:hAnsi="Arial"/>
        <w:color w:val="475569"/>
        <w:sz w:val="20"/>
        <w:szCs w:val="20"/>
      </w:rPr>
      <w:t xml:space="preserve">  |  Financial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20617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206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2026-02-02T02:25:38.323Z</dcterms:created>
  <dcterms:modified xsi:type="dcterms:W3CDTF">2026-02-02T02:25:38.323Z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