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DC1" descr="Aerial view of data center facility" title="Irix DC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20617"/>
          <w:sz w:val="72"/>
          <w:szCs w:val="72"/>
        </w:rPr>
        <w:t xml:space="preserve">GRID</w:t>
      </w: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LINE</w:t>
      </w:r>
    </w:p>
    <w:p>
      <w:pPr>
        <w:pBdr>
          <w:bottom w:val="single" w:color="2563EB" w:sz="24" w:space="1"/>
        </w:pBdr>
        <w:spacing w:before="200"/>
        <w:jc w:val="center"/>
      </w:pPr>
      <w:r>
        <w:rPr>
          <w:sz w:val="8"/>
          <w:szCs w:val="8"/>
        </w:rPr>
        <w:t xml:space="preserve">                                                  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color w:val="020617"/>
          <w:sz w:val="44"/>
          <w:szCs w:val="44"/>
        </w:rPr>
        <w:t xml:space="preserve">Financial Review Report</w:t>
      </w:r>
    </w:p>
    <w:p>
      <w:pPr>
        <w:spacing w:before="15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Irix DC-1 Asset Analysis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February 2026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CONFIDENTIAL</w:t>
      </w:r>
    </w:p>
    <w:p>
      <w:r>
        <w:br w:type="page"/>
      </w:r>
    </w:p>
    <w:p>
      <w:pPr>
        <w:pStyle w:val="Heading1"/>
        <w:spacing w:before="300" w:after="150" w:line="276" w:lineRule="auto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Executive Summary</w:t>
      </w:r>
    </w:p>
    <w:p>
      <w:pPr>
        <w:spacing w:after="18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GridLine has completed a high-level review of financial and operational information provided for Irix DC-1. Based on this initial assessment, the asset demonstrates a viable pathway for GridLine platform integration.</w:t>
      </w:r>
    </w:p>
    <w:p>
      <w:pPr>
        <w:spacing w:after="18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DC-1 aligns with GridLine's aggregation strategy due to the following key attributes: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Cash-flow-positive operations with stable revenue base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Significant underutilized capacity representing embedded growth potential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Clear platform-scale upside through integration benefits</w:t>
      </w:r>
    </w:p>
    <w:p>
      <w:pPr>
        <w:spacing w:before="150"/>
      </w:pPr>
    </w:p>
    <w:p>
      <w:pPr>
        <w:spacing w:after="18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Platform integration shifts the valuation lens from asset-level cash flow toward scale, predictability, and capital efficiency—structural advantages that underpin GridLine's preferred transaction approach.</w:t>
      </w:r>
    </w:p>
    <w:p>
      <w:r>
        <w:br w:type="page"/>
      </w:r>
    </w:p>
    <w:p>
      <w:pPr>
        <w:pStyle w:val="Heading1"/>
        <w:spacing w:before="300" w:after="150" w:line="276" w:lineRule="auto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Asset Overview</w:t>
      </w:r>
    </w:p>
    <w:p>
      <w:pPr>
        <w:spacing w:after="18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Irix DC-1 is an operating data centre with established revenue streams and significant capacity headroom for future growth.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~$8.75M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REVENUE (FY2025)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~22%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EBITDA MARGIN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100%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OWNERSHIP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1.20 MW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POWER CAPACITY</w:t>
            </w:r>
          </w:p>
        </w:tc>
      </w:tr>
    </w:tbl>
    <w:p>
      <w:pPr>
        <w:spacing w:before="400"/>
      </w:pPr>
    </w:p>
    <w:p>
      <w:pPr>
        <w:pStyle w:val="Heading2"/>
        <w:spacing w:before="240" w:after="120" w:line="276" w:lineRule="auto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Capacity Utilisation</w:t>
      </w:r>
    </w:p>
    <w:p>
      <w:pPr>
        <w:spacing w:after="18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The facility currently operates at approximately 25% of designed capacity, representing 75% available headroom for future growth.</w:t>
      </w:r>
    </w:p>
    <w:p>
      <w:pPr>
        <w:spacing w:before="200"/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CapacityChart" descr="25% utilised, 75% available" title="Capa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/>
        <w:jc w:val="center"/>
      </w:pPr>
      <w:r>
        <w:rPr>
          <w:b/>
          <w:bCs/>
          <w:color w:val="2563EB"/>
          <w:sz w:val="22"/>
          <w:szCs w:val="22"/>
        </w:rPr>
        <w:t xml:space="preserve">25% Utilised</w:t>
      </w:r>
      <w:r>
        <w:rPr>
          <w:color w:val="94A3B8"/>
          <w:sz w:val="22"/>
          <w:szCs w:val="22"/>
        </w:rPr>
        <w:t xml:space="preserve">  |  </w:t>
      </w:r>
      <w:r>
        <w:rPr>
          <w:b/>
          <w:bCs/>
          <w:color w:val="020617"/>
          <w:sz w:val="22"/>
          <w:szCs w:val="22"/>
        </w:rPr>
        <w:t xml:space="preserve">75% Available Headroom</w:t>
      </w:r>
    </w:p>
    <w:p>
      <w:r>
        <w:br w:type="page"/>
      </w:r>
    </w:p>
    <w:p>
      <w:pPr>
        <w:pStyle w:val="Heading1"/>
        <w:spacing w:before="300" w:after="150" w:line="276" w:lineRule="auto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Strategic Assessment</w:t>
      </w:r>
    </w:p>
    <w:p>
      <w:pPr>
        <w:pStyle w:val="Heading2"/>
        <w:spacing w:before="240" w:after="120" w:line="276" w:lineRule="auto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Asset Strengths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Embedded growth capacity without new land or greenfield development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Diversified end-market exposure across multiple sectors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Anchor tenancy stability (SAINS – 11-year contract)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Operating leverage at current margins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Clean ownership structure enabling straightforward execution</w:t>
      </w:r>
    </w:p>
    <w:p>
      <w:pPr>
        <w:spacing w:before="250"/>
      </w:pPr>
    </w:p>
    <w:p>
      <w:pPr>
        <w:pStyle w:val="Heading2"/>
        <w:spacing w:before="240" w:after="120" w:line="276" w:lineRule="auto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Key Considerations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Customer concentration – top three customers represent ~83% of revenue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Lease expiries clustered over the next 2–3 years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Revenue growth dependent on leasing execution</w:t>
      </w:r>
    </w:p>
    <w:p>
      <w:r>
        <w:br w:type="page"/>
      </w:r>
    </w:p>
    <w:p>
      <w:pPr>
        <w:pStyle w:val="Heading1"/>
        <w:spacing w:before="300" w:after="150" w:line="276" w:lineRule="auto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Platform Integration Value</w:t>
      </w:r>
    </w:p>
    <w:p>
      <w:pPr>
        <w:spacing w:after="18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Standalone data centres are typically valued on asset-level cash flow and concentration risk. Platform integration shifts the valuation lens toward scale, predictability, and capital efficiency.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06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06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STANDALONE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06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INSIDE GRIDLINE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color w:val="475569"/>
                <w:sz w:val="20"/>
                <w:szCs w:val="20"/>
              </w:rPr>
              <w:t xml:space="preserve">Valuation basis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color w:val="475569"/>
                <w:sz w:val="20"/>
                <w:szCs w:val="20"/>
              </w:rPr>
              <w:t xml:space="preserve">Asset-level EBITDA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color w:val="475569"/>
                <w:sz w:val="20"/>
                <w:szCs w:val="20"/>
              </w:rPr>
              <w:t xml:space="preserve">Platform scale &amp; predictability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color w:val="475569"/>
                <w:sz w:val="20"/>
                <w:szCs w:val="20"/>
              </w:rPr>
              <w:t xml:space="preserve">Risk profile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color w:val="475569"/>
                <w:sz w:val="20"/>
                <w:szCs w:val="20"/>
              </w:rPr>
              <w:t xml:space="preserve">Concentrated in one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color w:val="475569"/>
                <w:sz w:val="20"/>
                <w:szCs w:val="20"/>
              </w:rPr>
              <w:t xml:space="preserve">Spread across portfolio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color w:val="475569"/>
                <w:sz w:val="20"/>
                <w:szCs w:val="20"/>
              </w:rPr>
              <w:t xml:space="preserve">Capital raising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color w:val="475569"/>
                <w:sz w:val="20"/>
                <w:szCs w:val="20"/>
              </w:rPr>
              <w:t xml:space="preserve">Asset by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color w:val="475569"/>
                <w:sz w:val="20"/>
                <w:szCs w:val="20"/>
              </w:rPr>
              <w:t xml:space="preserve">Platform level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color w:val="475569"/>
                <w:sz w:val="20"/>
                <w:szCs w:val="20"/>
              </w:rPr>
              <w:t xml:space="preserve">Contracts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color w:val="475569"/>
                <w:sz w:val="20"/>
                <w:szCs w:val="20"/>
              </w:rPr>
              <w:t xml:space="preserve">Custom, harder to finance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color w:val="475569"/>
                <w:sz w:val="20"/>
                <w:szCs w:val="20"/>
              </w:rPr>
              <w:t xml:space="preserve">Standardised, easier to finance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color w:val="475569"/>
                <w:sz w:val="20"/>
                <w:szCs w:val="20"/>
              </w:rPr>
              <w:t xml:space="preserve">Exit options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color w:val="475569"/>
                <w:sz w:val="20"/>
                <w:szCs w:val="20"/>
              </w:rPr>
              <w:t xml:space="preserve">Sell the asset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 w:lineRule="auto"/>
            </w:pPr>
            <w:r>
              <w:rPr>
                <w:color w:val="475569"/>
                <w:sz w:val="20"/>
                <w:szCs w:val="20"/>
              </w:rPr>
              <w:t xml:space="preserve">Multiple pathways</w:t>
            </w:r>
          </w:p>
        </w:tc>
      </w:tr>
    </w:tbl>
    <w:p>
      <w:pPr>
        <w:spacing w:before="300"/>
      </w:pPr>
    </w:p>
    <w:p>
      <w:pPr>
        <w:pStyle w:val="Heading2"/>
        <w:spacing w:before="240" w:after="120" w:line="276" w:lineRule="auto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Valuation Enhancement</w:t>
      </w:r>
    </w:p>
    <w:p>
      <w:pPr>
        <w:spacing w:after="18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Integration into the GridLine platform positions DC-1 for institutional and public market valuations: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Standalone Asset: 1x–3x Revenue multiple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Platform Integration: 8–10x EBITDA multiple (Institutional/Public Market)</w:t>
      </w:r>
    </w:p>
    <w:p>
      <w:r>
        <w:br w:type="page"/>
      </w:r>
    </w:p>
    <w:p>
      <w:pPr>
        <w:pStyle w:val="Heading1"/>
        <w:spacing w:before="300" w:after="150" w:line="276" w:lineRule="auto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Partnership Options</w:t>
      </w:r>
    </w:p>
    <w:p>
      <w:pPr>
        <w:spacing w:after="18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The following options represent conceptual frameworks for discussion purposes only. They are subject to further negotiation, due diligence, and definitive documentation.</w:t>
      </w:r>
    </w:p>
    <w:p>
      <w:pPr>
        <w:spacing w:before="200"/>
      </w:pPr>
    </w:p>
    <w:p>
      <w:pPr>
        <w:pStyle w:val="Heading2"/>
        <w:spacing w:before="240" w:after="120" w:line="276" w:lineRule="auto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Option 1: Vendor Finance with Platform Equity (Primary)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Agreed enterprise valuation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Deferred consideration via vendor financing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Interest accrual over time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Repayment from free cash flow and/or platform-level liquidity events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Minority equity participation in GridLine</w:t>
      </w:r>
    </w:p>
    <w:p>
      <w:pPr>
        <w:spacing w:before="200"/>
      </w:pPr>
    </w:p>
    <w:p>
      <w:pPr>
        <w:pStyle w:val="Heading2"/>
        <w:spacing w:before="240" w:after="120" w:line="276" w:lineRule="auto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Option 2: Partial Cash / Partial Equity (Alternative)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Partial liquidity at close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Increased execution complexity and longer timelines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Reduced alignment compared to Option 1</w:t>
      </w:r>
    </w:p>
    <w:p>
      <w:pPr>
        <w:spacing w:before="200"/>
      </w:pPr>
    </w:p>
    <w:p>
      <w:pPr>
        <w:pStyle w:val="Heading2"/>
        <w:spacing w:before="240" w:after="120" w:line="276" w:lineRule="auto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Option 3: All Equity Contribution (Fallback)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No immediate liquidity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Full exposure to early-stage platform risk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Limited alignment with GridLine governance objectives</w:t>
      </w:r>
    </w:p>
    <w:p>
      <w:r>
        <w:br w:type="page"/>
      </w:r>
    </w:p>
    <w:p>
      <w:pPr>
        <w:pStyle w:val="Heading1"/>
        <w:spacing w:before="300" w:after="150" w:line="276" w:lineRule="auto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Execution Track Record</w:t>
      </w:r>
    </w:p>
    <w:p>
      <w:pPr>
        <w:spacing w:after="18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GridLine has a related platform operating under a similar aggregation model. To date, that platform has achieved: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4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OPERATING DCs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~$58M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MARKET CAP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~$4M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ANNUAL REVENUE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12x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POST-IPO</w:t>
            </w:r>
          </w:p>
        </w:tc>
      </w:tr>
    </w:tbl>
    <w:p>
      <w:pPr>
        <w:spacing w:before="250"/>
      </w:pPr>
    </w:p>
    <w:p>
      <w:pPr>
        <w:pStyle w:val="Heading2"/>
        <w:spacing w:before="240" w:after="120" w:line="276" w:lineRule="auto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Portfolio Overview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Asset 1: 1.0 MW capacity, ~$0.5M annual revenue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Asset 2: 1.5 MW capacity, ~$1.2M annual revenue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Asset 3: 2.0 MW capacity, ~$1.6M annual revenue</w:t>
      </w:r>
    </w:p>
    <w:p>
      <w:pPr>
        <w:pStyle w:val="ListParagraph"/>
        <w:numPr>
          <w:ilvl w:val="0"/>
          <w:numId w:val="2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Asset 4: 3.0 MW capacity, ~$1.8M annual revenue</w:t>
      </w:r>
    </w:p>
    <w:p>
      <w:r>
        <w:br w:type="page"/>
      </w:r>
    </w:p>
    <w:p>
      <w:pPr>
        <w:pStyle w:val="Heading1"/>
        <w:spacing w:before="300" w:after="150" w:line="276" w:lineRule="auto"/>
      </w:pPr>
      <w:r>
        <w:rPr>
          <w:rFonts w:ascii="Arial" w:cs="Arial" w:eastAsia="Arial" w:hAnsi="Arial"/>
          <w:b/>
          <w:bCs/>
          <w:color w:val="020617"/>
          <w:sz w:val="48"/>
          <w:szCs w:val="48"/>
        </w:rPr>
        <w:t xml:space="preserve">Next Steps</w:t>
      </w:r>
    </w:p>
    <w:p>
      <w:pPr>
        <w:spacing w:after="18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To advance discussions and move toward a definitive agreement:</w:t>
      </w:r>
    </w:p>
    <w:p>
      <w:pPr>
        <w:spacing w:before="150"/>
      </w:pP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Internal alignment on positioning and preferred transaction structure</w:t>
      </w: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Exchange of additional financial and operational data for detailed due diligence</w:t>
      </w: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Preliminary term sheet development based on Option 1 framework</w:t>
      </w:r>
    </w:p>
    <w:p>
      <w:pPr>
        <w:pStyle w:val="ListParagraph"/>
        <w:numPr>
          <w:ilvl w:val="0"/>
          <w:numId w:val="3"/>
        </w:numPr>
        <w:spacing w:after="10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Engagement of legal and financial advisors for transaction structuring</w:t>
      </w:r>
    </w:p>
    <w:p>
      <w:pPr>
        <w:spacing w:before="300"/>
      </w:pPr>
    </w:p>
    <w:p>
      <w:pPr>
        <w:spacing w:after="180" w:line="300" w:lineRule="auto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GridLine remains committed to a collaborative process that delivers value for all stakeholders while building toward platform-scale infrastructure investment.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20617"/>
        <w:sz w:val="18"/>
        <w:szCs w:val="18"/>
      </w:rPr>
      <w:t xml:space="preserve">GRID</w:t>
    </w: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LINE</w:t>
    </w:r>
    <w:r>
      <w:rPr>
        <w:rFonts w:ascii="Arial" w:cs="Arial" w:eastAsia="Arial" w:hAnsi="Arial"/>
        <w:color w:val="94A3B8"/>
        <w:sz w:val="18"/>
        <w:szCs w:val="18"/>
      </w:rPr>
      <w:t xml:space="preserve">  |  Financial Review  |  Irix DC-1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 w:line="276" w:lineRule="auto"/>
      <w:outlineLvl w:val="0"/>
    </w:pPr>
    <w:rPr>
      <w:rFonts w:ascii="Arial" w:cs="Arial" w:eastAsia="Arial" w:hAnsi="Arial"/>
      <w:b/>
      <w:bCs/>
      <w:color w:val="020617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40" w:after="120" w:line="276" w:lineRule="auto"/>
      <w:outlineLvl w:val="1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 w:line="276" w:lineRule="auto"/>
      <w:outlineLvl w:val="2"/>
    </w:pPr>
    <w:rPr>
      <w:rFonts w:ascii="Arial" w:cs="Arial" w:eastAsia="Arial" w:hAnsi="Arial"/>
      <w:b/>
      <w:bCs/>
      <w:color w:val="0206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f1fe4e1ec7c2b21ad969f9bf210547d7edbc1c1.jpg"/><Relationship Id="rId9" Type="http://schemas.openxmlformats.org/officeDocument/2006/relationships/image" Target="media/62e641e4c330cdad511e88c613d28fbe6400e752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2026-02-02T02:31:52.910Z</dcterms:created>
  <dcterms:modified xsi:type="dcterms:W3CDTF">2026-02-02T02:31:52.910Z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