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DC1" descr="Data center" title="Irix DC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50"/>
      </w:pPr>
    </w:p>
    <w:p>
      <w:pPr>
        <w:jc w:val="center"/>
      </w:pPr>
      <w:r>
        <w:rPr>
          <w:rFonts w:ascii="Arial" w:cs="Arial" w:eastAsia="Arial" w:hAnsi="Arial"/>
          <w:b/>
          <w:bCs/>
          <w:color w:val="020617"/>
          <w:sz w:val="64"/>
          <w:szCs w:val="64"/>
        </w:rPr>
        <w:t xml:space="preserve">GRID</w:t>
      </w: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LINE</w:t>
      </w:r>
    </w:p>
    <w:p>
      <w:pPr>
        <w:spacing w:before="150"/>
        <w:jc w:val="center"/>
      </w:pPr>
      <w:r>
        <w:rPr>
          <w:color w:val="2563EB"/>
          <w:sz w:val="16"/>
          <w:szCs w:val="16"/>
        </w:rPr>
        <w:t xml:space="preserve">━━━━━━━━━━━━━━━━━━━━━━━━━━━━━━</w:t>
      </w:r>
    </w:p>
    <w:p>
      <w:pPr>
        <w:spacing w:before="250"/>
      </w:pPr>
    </w:p>
    <w:p>
      <w:pPr>
        <w:jc w:val="center"/>
      </w:pPr>
      <w:r>
        <w:rPr>
          <w:rFonts w:ascii="Arial" w:cs="Arial" w:eastAsia="Arial" w:hAnsi="Arial"/>
          <w:color w:val="0F172A"/>
          <w:sz w:val="40"/>
          <w:szCs w:val="40"/>
        </w:rPr>
        <w:t xml:space="preserve">Financial Review</w:t>
      </w:r>
    </w:p>
    <w:p>
      <w:pPr>
        <w:spacing w:before="12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Asset – Irix DC-1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February 2026  •  Confidential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INITIAL ASSESSMENT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Overview</w:t>
      </w: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GridLine has completed a high-level review of financial and operational information provided for Irix DC-1. Based on this initial assessment, the asset demonstrates a viable pathway for GridLine platform integration.</w:t>
      </w: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DC-1 aligns with GridLine's aggregation strategy due to the following: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Cash-flow-positive operations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Underutilized capacity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Clear platform-scale upside potential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FINANCIAL PROFILE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Key Financial Highlights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~$8.75M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REVENUE (FY25)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~22%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EBITDA MARGIN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100%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OWNERSHIP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1.20 MW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POWER</w:t>
            </w:r>
          </w:p>
        </w:tc>
      </w:tr>
    </w:tbl>
    <w:p>
      <w:pPr>
        <w:spacing w:before="300"/>
      </w:pP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~25%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CURRENT UTILISATION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GROWTH POTENTIAL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Capacity Utilisation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Designed capacity vs current utilisation</w:t>
      </w:r>
    </w:p>
    <w:p>
      <w:pPr>
        <w:spacing w:before="15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Chart" descr="25/75 split" title="Capacit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  <w:jc w:val="center"/>
      </w:pPr>
      <w:r>
        <w:rPr>
          <w:b/>
          <w:bCs/>
          <w:color w:val="2563EB"/>
          <w:sz w:val="24"/>
          <w:szCs w:val="24"/>
        </w:rPr>
        <w:t xml:space="preserve">25% Utilised</w:t>
      </w:r>
      <w:r>
        <w:rPr>
          <w:color w:val="94A3B8"/>
          <w:sz w:val="24"/>
          <w:szCs w:val="24"/>
        </w:rPr>
        <w:t xml:space="preserve">   •   </w:t>
      </w:r>
      <w:r>
        <w:rPr>
          <w:b/>
          <w:bCs/>
          <w:color w:val="0F172A"/>
          <w:sz w:val="24"/>
          <w:szCs w:val="24"/>
        </w:rPr>
        <w:t xml:space="preserve">75% Available Headroom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INVESTMENT THESIS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Asset Strengths Identified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Embedded growth capacity without new land or greenfield development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Diversified end-market exposure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Anchor tenancy stability (SAINS – 11-year contract)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Operating leverage at current margins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Clean ownership structure enabling straightforward execution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RISK FACTORS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Key Considerations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Customer concentration (top three customers ~83% of revenue)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Lease expiries clustered over the next 2–3 years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Revenue growth dependent on leasing execution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INSTITUTIONAL ALIGNMENT MODEL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How GridLine Partnership Changes Value</w:t>
      </w: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Standalone data centres are typically valued on asset-level cash flow and concentration risk. Platform integration shifts the valuation lens toward scale, predictability, and capital efficiency.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4A3B8"/>
                <w:sz w:val="16"/>
                <w:szCs w:val="16"/>
              </w:rPr>
              <w:t xml:space="preserve">WHAT CHANGES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4A3B8"/>
                <w:sz w:val="16"/>
                <w:szCs w:val="16"/>
              </w:rPr>
              <w:t xml:space="preserve">ON ITS OWN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563EB"/>
                <w:sz w:val="16"/>
                <w:szCs w:val="16"/>
              </w:rPr>
              <w:t xml:space="preserve">INSIDE GRIDLINE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How it's valued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Based on DC EBITDA today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Platform scale &amp; predictability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Concentrated in one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Spread across multiple assets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Capital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Raised asset by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Raised at platform level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Contracts &amp; reporting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Custom, harder to finance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Standardised, easier to finance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Exit options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Sell the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Multiple exit pathways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VALUATION RERATING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Why DC1 Is Worth More Inside GridLine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DC enhanced valuation within GRIDLINE platform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8FAF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 xml:space="preserve">STANDALONE ASSET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0F172A"/>
                <w:sz w:val="32"/>
                <w:szCs w:val="32"/>
              </w:rPr>
              <w:t xml:space="preserve">1x – 3x Revenue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Discounted for illiquidity</w:t>
            </w:r>
          </w:p>
        </w:tc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→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2563EB"/>
                <w:sz w:val="12"/>
                <w:szCs w:val="12"/>
              </w:rPr>
              <w:t xml:space="preserve">PLATFORM</w:t>
            </w:r>
          </w:p>
        </w:tc>
        <w:tc>
          <w:tcPr>
            <w:tcW w:type="dxa" w:w="430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20617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0A5FA"/>
                <w:sz w:val="16"/>
                <w:szCs w:val="16"/>
              </w:rPr>
              <w:t xml:space="preserve">INSTITUTIONAL / PUBLIC MARKET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*8–12x Multiple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0A5FA"/>
                <w:sz w:val="16"/>
                <w:szCs w:val="16"/>
              </w:rPr>
              <w:t xml:space="preserve">Portfolio-wide rerating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TRANSACTION FRAMEWORK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Partnership &amp; Acquisition Options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Conceptual frameworks for discussion purposes only</w:t>
      </w: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Primary Option: Vendor Finance with Platform Equity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Agreed enterprise valuation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Deferred consideration via vendor financing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Interest accrual over time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Repayment from free cash flow and/or platform-level liquidity events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Minority equity participation in GridLine</w:t>
      </w:r>
    </w:p>
    <w:p>
      <w:pPr>
        <w:spacing w:before="180"/>
      </w:pP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Alternative: Partial Cash / Partial Equity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Partial liquidity at close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Increased execution complexity; longer timelines</w:t>
      </w:r>
    </w:p>
    <w:p>
      <w:pPr>
        <w:spacing w:before="180"/>
      </w:pP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Fallback: All Equity Contribution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immediate liquidity; full early-stage platform risk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TRACK RECORD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Execution Credibility</w:t>
      </w: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GridLine has a related platform operating under a similar aggregation model. To date, that platform has acquired four operating data centers: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TIER II/III DCs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~$58M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MARKET CAP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~$4M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ANNUAL REV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BEAFE"/>
                <w:sz w:val="14"/>
                <w:szCs w:val="14"/>
              </w:rPr>
              <w:t xml:space="preserve">POST-IPO</w:t>
            </w:r>
          </w:p>
        </w:tc>
      </w:tr>
    </w:tbl>
    <w:p>
      <w:pPr>
        <w:spacing w:before="250"/>
      </w:pP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Portfolio Assets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1: 1.0 MW, ~$0.5M revenue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2: 1.5 MW, ~$1.2M revenue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3: 2.0 MW, ~$1.6M revenue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4: 3.0 MW, ~$1.8M revenue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PATH FORWARD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Internal alignment on positioning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Exchange of additional financial and operational data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Preliminary term sheet development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Engagement of advisors for transaction structuring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20617"/>
        <w:sz w:val="16"/>
        <w:szCs w:val="16"/>
      </w:rPr>
      <w:t xml:space="preserve">GRID</w:t>
    </w: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LINE</w:t>
    </w:r>
    <w:r>
      <w:rPr>
        <w:rFonts w:ascii="Arial" w:cs="Arial" w:eastAsia="Arial" w:hAnsi="Arial"/>
        <w:color w:val="94A3B8"/>
        <w:sz w:val="16"/>
        <w:szCs w:val="16"/>
      </w:rPr>
      <w:t xml:space="preserve">  |  Irix DC-1 Financial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 w:line="264" w:lineRule="auto"/>
      <w:outlineLvl w:val="0"/>
    </w:pPr>
    <w:rPr>
      <w:rFonts w:ascii="Arial" w:cs="Arial" w:eastAsia="Arial" w:hAnsi="Arial"/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100" w:line="264" w:lineRule="auto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f1fe4e1ec7c2b21ad969f9bf210547d7edbc1c1.jpg"/><Relationship Id="rId9" Type="http://schemas.openxmlformats.org/officeDocument/2006/relationships/image" Target="media/62e641e4c330cdad511e88c613d28fbe6400e75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2026-02-02T02:36:03.503Z</dcterms:created>
  <dcterms:modified xsi:type="dcterms:W3CDTF">2026-02-02T02:36:03.503Z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