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DC1" descr="Data center facility" title="Irix DC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50"/>
      </w:pPr>
    </w:p>
    <w:p>
      <w:pPr>
        <w:jc w:val="center"/>
      </w:pPr>
      <w:r>
        <w:rPr>
          <w:rFonts w:ascii="Arial" w:cs="Arial" w:eastAsia="Arial" w:hAnsi="Arial"/>
          <w:b/>
          <w:bCs/>
          <w:color w:val="020617"/>
          <w:sz w:val="64"/>
          <w:szCs w:val="64"/>
        </w:rPr>
        <w:t xml:space="preserve">GRID</w:t>
      </w:r>
      <w:r>
        <w:rPr>
          <w:rFonts w:ascii="Arial" w:cs="Arial" w:eastAsia="Arial" w:hAnsi="Arial"/>
          <w:b/>
          <w:bCs/>
          <w:color w:val="2563EB"/>
          <w:sz w:val="64"/>
          <w:szCs w:val="64"/>
        </w:rPr>
        <w:t xml:space="preserve">LINE</w:t>
      </w:r>
    </w:p>
    <w:p>
      <w:pPr>
        <w:spacing w:before="150"/>
        <w:jc w:val="center"/>
      </w:pPr>
      <w:r>
        <w:rPr>
          <w:color w:val="2563EB"/>
          <w:sz w:val="16"/>
          <w:szCs w:val="16"/>
        </w:rPr>
        <w:t xml:space="preserve">━━━━━━━━━━━━━━━━━━━━━━━━━━━━━━</w:t>
      </w:r>
    </w:p>
    <w:p>
      <w:pPr>
        <w:spacing w:before="250"/>
      </w:pPr>
    </w:p>
    <w:p>
      <w:pPr>
        <w:jc w:val="center"/>
      </w:pPr>
      <w:r>
        <w:rPr>
          <w:rFonts w:ascii="Arial" w:cs="Arial" w:eastAsia="Arial" w:hAnsi="Arial"/>
          <w:color w:val="0F172A"/>
          <w:sz w:val="40"/>
          <w:szCs w:val="40"/>
        </w:rPr>
        <w:t xml:space="preserve">Financial Review Report</w:t>
      </w:r>
    </w:p>
    <w:p>
      <w:pPr>
        <w:spacing w:before="12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Irix DC-1 Asset Analysis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February 2026  •  Confidential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475569"/>
          <w:sz w:val="16"/>
          <w:szCs w:val="16"/>
        </w:rPr>
        <w:t xml:space="preserve">OVERVIEW</w:t>
      </w:r>
    </w:p>
    <w:p>
      <w:pPr>
        <w:spacing w:before="100" w:after="80" w:line="264" w:lineRule="auto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Executive Summary</w:t>
      </w:r>
    </w:p>
    <w:p>
      <w:pPr>
        <w:spacing w:after="300" w:line="288" w:lineRule="auto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GridLine platform integration pathway for Irix DC-1</w:t>
      </w:r>
    </w:p>
    <w:p>
      <w:pPr>
        <w:spacing w:after="16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GridLine has completed a high-level review of financial and operational information provided for Irix DC-1. Based on this initial assessment, the asset demonstrates a viable pathway for GridLine platform integration.</w:t>
      </w:r>
    </w:p>
    <w:p>
      <w:pPr>
        <w:spacing w:after="16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DC-1 aligns with GridLine's aggregation strategy due to the following key attributes: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Cash-flow-positive operations with stable revenue base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Significant underutilized capacity representing embedded growth potential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Clear platform-scale upside through integration benefits</w:t>
      </w:r>
    </w:p>
    <w:p>
      <w:pPr>
        <w:spacing w:before="100"/>
      </w:pPr>
    </w:p>
    <w:p>
      <w:pPr>
        <w:spacing w:after="16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Platform integration shifts the valuation lens from asset-level cash flow toward scale, predictability, and capital efficiency—structural advantages that underpin GridLine's preferred transaction approach.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475569"/>
          <w:sz w:val="16"/>
          <w:szCs w:val="16"/>
        </w:rPr>
        <w:t xml:space="preserve">ASSET PROFILE</w:t>
      </w:r>
    </w:p>
    <w:p>
      <w:pPr>
        <w:spacing w:before="100" w:after="80" w:line="264" w:lineRule="auto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Asset Overview</w:t>
      </w:r>
    </w:p>
    <w:p>
      <w:pPr>
        <w:spacing w:after="300" w:line="288" w:lineRule="auto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Key metrics and capacity utilisation for Irix DC-1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50"/>
              <w:left w:type="dxa" w:w="120"/>
              <w:bottom w:type="dxa" w:w="1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~$8.75M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REVENUE (FY25)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50"/>
              <w:left w:type="dxa" w:w="120"/>
              <w:bottom w:type="dxa" w:w="1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~22%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EBITDA MARGIN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50"/>
              <w:left w:type="dxa" w:w="120"/>
              <w:bottom w:type="dxa" w:w="1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100%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OWNERSHIP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50"/>
              <w:left w:type="dxa" w:w="120"/>
              <w:bottom w:type="dxa" w:w="1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1.20 MW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POWER</w:t>
            </w:r>
          </w:p>
        </w:tc>
      </w:tr>
    </w:tbl>
    <w:p>
      <w:pPr>
        <w:spacing w:before="350"/>
      </w:pPr>
    </w:p>
    <w:p>
      <w:pPr>
        <w:spacing w:before="180" w:after="80" w:line="264" w:lineRule="auto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Capacity Utilisation</w:t>
      </w:r>
    </w:p>
    <w:p>
      <w:pPr>
        <w:spacing w:after="16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facility operates at ~25% of designed capacity, representing 75% available headroom for future growth.</w:t>
      </w:r>
    </w:p>
    <w:p>
      <w:pPr>
        <w:spacing w:before="200"/>
        <w:jc w:val="center"/>
      </w:pPr>
      <w:r>
        <w:drawing>
          <wp:inline distT="0" distB="0" distL="0" distR="0">
            <wp:extent cx="1524000" cy="1524000"/>
            <wp:effectExtent t="0" r="0" b="0" l="0"/>
            <wp:docPr id="1" name="Chart" descr="25% utilised" title="Capa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/>
        <w:jc w:val="center"/>
      </w:pPr>
      <w:r>
        <w:rPr>
          <w:b/>
          <w:bCs/>
          <w:color w:val="2563EB"/>
          <w:sz w:val="20"/>
          <w:szCs w:val="20"/>
        </w:rPr>
        <w:t xml:space="preserve">25% Utilised</w:t>
      </w:r>
      <w:r>
        <w:rPr>
          <w:color w:val="94A3B8"/>
          <w:sz w:val="20"/>
          <w:szCs w:val="20"/>
        </w:rPr>
        <w:t xml:space="preserve">   •   </w:t>
      </w:r>
      <w:r>
        <w:rPr>
          <w:b/>
          <w:bCs/>
          <w:color w:val="0F172A"/>
          <w:sz w:val="20"/>
          <w:szCs w:val="20"/>
        </w:rPr>
        <w:t xml:space="preserve">75% Available Headroom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475569"/>
          <w:sz w:val="16"/>
          <w:szCs w:val="16"/>
        </w:rPr>
        <w:t xml:space="preserve">DUE DILIGENCE</w:t>
      </w:r>
    </w:p>
    <w:p>
      <w:pPr>
        <w:spacing w:before="100" w:after="80" w:line="264" w:lineRule="auto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Strategic Assessment</w:t>
      </w:r>
    </w:p>
    <w:p>
      <w:pPr>
        <w:spacing w:after="300" w:line="288" w:lineRule="auto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Asset strengths and key considerations</w:t>
      </w:r>
    </w:p>
    <w:p>
      <w:pPr>
        <w:spacing w:before="180" w:after="80" w:line="264" w:lineRule="auto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Asset Strengths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Embedded growth capacity without new land or greenfield development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Diversified end-market exposure across multiple sectors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Anchor tenancy stability (SAINS – 11-year contract)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Operating leverage at current margins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Clean ownership structure enabling straightforward execution</w:t>
      </w:r>
    </w:p>
    <w:p>
      <w:pPr>
        <w:spacing w:before="250"/>
      </w:pPr>
    </w:p>
    <w:p>
      <w:pPr>
        <w:spacing w:before="180" w:after="80" w:line="264" w:lineRule="auto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Key Considerations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Customer concentration – top three customers represent ~83% of revenue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Lease expiries clustered over the next 2–3 years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Revenue growth dependent on leasing execution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475569"/>
          <w:sz w:val="16"/>
          <w:szCs w:val="16"/>
        </w:rPr>
        <w:t xml:space="preserve">INSTITUTIONAL ALIGNMENT MODEL</w:t>
      </w:r>
    </w:p>
    <w:p>
      <w:pPr>
        <w:spacing w:before="100" w:after="80" w:line="264" w:lineRule="auto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DC Enhanced Valuation Within GRIDLINE Platform</w:t>
      </w:r>
    </w:p>
    <w:p>
      <w:pPr>
        <w:spacing w:after="300" w:line="288" w:lineRule="auto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Why standalone data centres are worth more inside a unified, public-ready platform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8FAFC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16"/>
                <w:szCs w:val="16"/>
              </w:rPr>
              <w:t xml:space="preserve">STANDALONE ASSET</w:t>
            </w:r>
          </w:p>
          <w:p>
            <w:pPr>
              <w:spacing w:before="150"/>
              <w:jc w:val="center"/>
            </w:pPr>
            <w:r>
              <w:rPr>
                <w:b/>
                <w:bCs/>
                <w:color w:val="0F172A"/>
                <w:sz w:val="32"/>
                <w:szCs w:val="32"/>
              </w:rPr>
              <w:t xml:space="preserve">1x – 3x Revenue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64748B"/>
                <w:sz w:val="16"/>
                <w:szCs w:val="16"/>
              </w:rPr>
              <w:t xml:space="preserve">Discounted for illiquidity</w:t>
            </w:r>
          </w:p>
        </w:tc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36"/>
                <w:szCs w:val="36"/>
              </w:rPr>
              <w:t xml:space="preserve">→</w:t>
            </w:r>
          </w:p>
          <w:p>
            <w:pPr>
              <w:spacing w:before="40"/>
              <w:jc w:val="center"/>
            </w:pPr>
            <w:r>
              <w:rPr>
                <w:b/>
                <w:bCs/>
                <w:color w:val="2563EB"/>
                <w:sz w:val="12"/>
                <w:szCs w:val="12"/>
              </w:rPr>
              <w:t xml:space="preserve">PLATFORM</w:t>
            </w:r>
          </w:p>
        </w:tc>
        <w:tc>
          <w:tcPr>
            <w:tcW w:type="dxa" w:w="430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20617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0A5FA"/>
                <w:sz w:val="16"/>
                <w:szCs w:val="16"/>
              </w:rPr>
              <w:t xml:space="preserve">INSTITUTIONAL / PUBLIC MARKET</w:t>
            </w:r>
          </w:p>
          <w:p>
            <w:pPr>
              <w:spacing w:before="15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*8–12x Multiple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60A5FA"/>
                <w:sz w:val="16"/>
                <w:szCs w:val="16"/>
              </w:rPr>
              <w:t xml:space="preserve">Portfolio-wide rerating</w:t>
            </w:r>
          </w:p>
        </w:tc>
      </w:tr>
    </w:tbl>
    <w:p>
      <w:pPr>
        <w:spacing w:before="3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4A3B8"/>
                <w:sz w:val="16"/>
                <w:szCs w:val="16"/>
              </w:rPr>
              <w:t xml:space="preserve">WHAT CHANGES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4A3B8"/>
                <w:sz w:val="16"/>
                <w:szCs w:val="16"/>
              </w:rPr>
              <w:t xml:space="preserve">ON ITS OWN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563EB"/>
                <w:sz w:val="16"/>
                <w:szCs w:val="16"/>
              </w:rPr>
              <w:t xml:space="preserve">INSIDE GRIDLINE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How it's valued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Based on DC EBITDA today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 w:lineRule="auto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Platform scale &amp; predictability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Concentrated in one asset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 w:lineRule="auto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Spread across multiple assets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Capital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Raised asset by asset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 w:lineRule="auto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Raised at platform level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Contracts &amp; reporting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Custom, harder to finance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 w:lineRule="auto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Standardised, easier to finance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Exit options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Sell the asset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 w:lineRule="auto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Multiple exit pathways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475569"/>
          <w:sz w:val="16"/>
          <w:szCs w:val="16"/>
        </w:rPr>
        <w:t xml:space="preserve">TRANSACTION FRAMEWORK</w:t>
      </w:r>
    </w:p>
    <w:p>
      <w:pPr>
        <w:spacing w:before="100" w:after="80" w:line="264" w:lineRule="auto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Partnership &amp; Acquisition Options</w:t>
      </w:r>
    </w:p>
    <w:p>
      <w:pPr>
        <w:spacing w:after="300" w:line="288" w:lineRule="auto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Conceptual frameworks for discussion purposes only</w:t>
      </w:r>
    </w:p>
    <w:p>
      <w:pPr>
        <w:spacing w:before="180" w:after="80" w:line="264" w:lineRule="auto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Primary Option: Vendor Finance with Platform Equity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Agreed enterprise valuation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Deferred consideration via vendor financing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Interest accrual over time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Repayment from free cash flow and/or platform-level liquidity events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Minority equity participation in GridLine</w:t>
      </w:r>
    </w:p>
    <w:p>
      <w:pPr>
        <w:spacing w:before="200"/>
      </w:pPr>
    </w:p>
    <w:p>
      <w:pPr>
        <w:spacing w:before="180" w:after="80" w:line="264" w:lineRule="auto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Alternative: Partial Cash / Partial Equity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Partial liquidity at close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Increased execution complexity and longer timelines</w:t>
      </w:r>
    </w:p>
    <w:p>
      <w:pPr>
        <w:spacing w:before="200"/>
      </w:pPr>
    </w:p>
    <w:p>
      <w:pPr>
        <w:spacing w:before="180" w:after="80" w:line="264" w:lineRule="auto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Fallback: All Equity Contribution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immediate liquidity; full early-stage platform risk exposure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475569"/>
          <w:sz w:val="16"/>
          <w:szCs w:val="16"/>
        </w:rPr>
        <w:t xml:space="preserve">TRACK RECORD</w:t>
      </w:r>
    </w:p>
    <w:p>
      <w:pPr>
        <w:spacing w:before="100" w:after="80" w:line="264" w:lineRule="auto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Execution Credibility</w:t>
      </w:r>
    </w:p>
    <w:p>
      <w:pPr>
        <w:spacing w:after="300" w:line="288" w:lineRule="auto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Related platform operating under similar aggregation model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50"/>
              <w:left w:type="dxa" w:w="120"/>
              <w:bottom w:type="dxa" w:w="1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4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OPERATING DCs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50"/>
              <w:left w:type="dxa" w:w="120"/>
              <w:bottom w:type="dxa" w:w="1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~$58M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MARKET CAP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50"/>
              <w:left w:type="dxa" w:w="120"/>
              <w:bottom w:type="dxa" w:w="1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~$4M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ANNUAL REV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50"/>
              <w:left w:type="dxa" w:w="120"/>
              <w:bottom w:type="dxa" w:w="1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12x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BEAFE"/>
                <w:sz w:val="14"/>
                <w:szCs w:val="14"/>
              </w:rPr>
              <w:t xml:space="preserve">POST-IPO</w:t>
            </w:r>
          </w:p>
        </w:tc>
      </w:tr>
    </w:tbl>
    <w:p>
      <w:pPr>
        <w:spacing w:before="250"/>
      </w:pPr>
    </w:p>
    <w:p>
      <w:pPr>
        <w:spacing w:before="180" w:after="80" w:line="264" w:lineRule="auto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Portfolio Assets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Asset 1: 1.0 MW capacity, ~$0.5M annual revenue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Asset 2: 1.5 MW capacity, ~$1.2M annual revenue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Asset 3: 2.0 MW capacity, ~$1.6M annual revenue</w:t>
      </w:r>
    </w:p>
    <w:p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Asset 4: 3.0 MW capacity, ~$1.8M annual revenue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475569"/>
          <w:sz w:val="16"/>
          <w:szCs w:val="16"/>
        </w:rPr>
        <w:t xml:space="preserve">PATH FORWARD</w:t>
      </w:r>
    </w:p>
    <w:p>
      <w:pPr>
        <w:spacing w:before="100" w:after="80" w:line="264" w:lineRule="auto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Next Steps</w:t>
      </w:r>
    </w:p>
    <w:p>
      <w:pPr>
        <w:spacing w:after="300" w:line="288" w:lineRule="auto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Recommended actions to advance discussions</w:t>
      </w:r>
    </w:p>
    <w:p>
      <w:pPr>
        <w:spacing w:before="150"/>
      </w:pPr>
    </w:p>
    <w:p>
      <w:pPr>
        <w:pStyle w:val="ListParagraph"/>
        <w:numPr>
          <w:ilvl w:val="0"/>
          <w:numId w:val="3"/>
        </w:numPr>
        <w:spacing w:after="10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Internal alignment on positioning and preferred transaction structure</w:t>
      </w:r>
    </w:p>
    <w:p>
      <w:pPr>
        <w:pStyle w:val="ListParagraph"/>
        <w:numPr>
          <w:ilvl w:val="0"/>
          <w:numId w:val="3"/>
        </w:numPr>
        <w:spacing w:after="10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Exchange of additional financial and operational data for detailed due diligence</w:t>
      </w:r>
    </w:p>
    <w:p>
      <w:pPr>
        <w:pStyle w:val="ListParagraph"/>
        <w:numPr>
          <w:ilvl w:val="0"/>
          <w:numId w:val="3"/>
        </w:numPr>
        <w:spacing w:after="10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Preliminary term sheet development based on Option 1 framework</w:t>
      </w:r>
    </w:p>
    <w:p>
      <w:pPr>
        <w:pStyle w:val="ListParagraph"/>
        <w:numPr>
          <w:ilvl w:val="0"/>
          <w:numId w:val="3"/>
        </w:numPr>
        <w:spacing w:after="10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Engagement of legal and financial advisors for transaction structuring</w:t>
      </w:r>
    </w:p>
    <w:p>
      <w:pPr>
        <w:spacing w:before="300"/>
      </w:pPr>
    </w:p>
    <w:p>
      <w:pPr>
        <w:spacing w:after="160" w:line="288" w:lineRule="auto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GridLine remains committed to a collaborative process that delivers value for all stakeholders while building toward platform-scale infrastructure investment.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Confidential  •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020617"/>
        <w:sz w:val="16"/>
        <w:szCs w:val="16"/>
      </w:rPr>
      <w:t xml:space="preserve">GRID</w:t>
    </w:r>
    <w:r>
      <w:rPr>
        <w:rFonts w:ascii="Arial" w:cs="Arial" w:eastAsia="Arial" w:hAnsi="Arial"/>
        <w:b/>
        <w:bCs/>
        <w:color w:val="2563EB"/>
        <w:sz w:val="16"/>
        <w:szCs w:val="16"/>
      </w:rPr>
      <w:t xml:space="preserve">LINE</w:t>
    </w:r>
    <w:r>
      <w:rPr>
        <w:rFonts w:ascii="Arial" w:cs="Arial" w:eastAsia="Arial" w:hAnsi="Arial"/>
        <w:color w:val="94A3B8"/>
        <w:sz w:val="16"/>
        <w:szCs w:val="16"/>
      </w:rPr>
      <w:t xml:space="preserve">  |  Irix DC-1 Financial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 w:line="264" w:lineRule="auto"/>
      <w:outlineLvl w:val="0"/>
    </w:pPr>
    <w:rPr>
      <w:rFonts w:ascii="Arial" w:cs="Arial" w:eastAsia="Arial" w:hAnsi="Arial"/>
      <w:b/>
      <w:bCs/>
      <w:color w:val="0F172A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00" w:after="100" w:line="264" w:lineRule="auto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f1fe4e1ec7c2b21ad969f9bf210547d7edbc1c1.jpg"/><Relationship Id="rId9" Type="http://schemas.openxmlformats.org/officeDocument/2006/relationships/image" Target="media/62e641e4c330cdad511e88c613d28fbe6400e752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2026-02-02T02:34:36.909Z</dcterms:created>
  <dcterms:modified xsi:type="dcterms:W3CDTF">2026-02-02T02:34:36.909Z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