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52"/>
          <w:szCs w:val="52"/>
        </w:rPr>
        <w:t xml:space="preserve">California Housing Price Prediction</w:t>
      </w:r>
    </w:p>
    <w:p>
      <w:pPr>
        <w:spacing w:before="0" w:after="80"/>
        <w:jc w:val="center"/>
      </w:pPr>
      <w:r>
        <w:rPr>
          <w:rFonts w:ascii="Arial" w:cs="Arial" w:eastAsia="Arial" w:hAnsi="Arial"/>
          <w:color w:val="2E75B6"/>
          <w:sz w:val="28"/>
          <w:szCs w:val="28"/>
        </w:rPr>
        <w:t xml:space="preserve">Regression Model Performance Report</w:t>
      </w:r>
    </w:p>
    <w:p>
      <w:pPr>
        <w:spacing w:before="0" w:after="240"/>
        <w:jc w:val="center"/>
      </w:pPr>
      <w:r>
        <w:rPr>
          <w:rFonts w:ascii="Arial" w:cs="Arial" w:eastAsia="Arial" w:hAnsi="Arial"/>
          <w:i/>
          <w:iCs/>
          <w:color w:val="888888"/>
          <w:sz w:val="20"/>
          <w:szCs w:val="20"/>
        </w:rPr>
        <w:t xml:space="preserve">Dataset: California Housing  |  Framework: scikit-learn, XGBoost, Hyperopt</w:t>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1. Dataset</w:t>
      </w:r>
    </w:p>
    <w:p>
      <w:pPr>
        <w:spacing w:before="60" w:after="100"/>
      </w:pPr>
      <w:r>
        <w:rPr>
          <w:rFonts w:ascii="Arial" w:cs="Arial" w:eastAsia="Arial" w:hAnsi="Arial"/>
          <w:sz w:val="22"/>
          <w:szCs w:val="22"/>
        </w:rPr>
        <w:t xml:space="preserve">The California Housing dataset was sourced from scikit-learn's built-in datasets (sklearn.datasets.fetch_california_housing). It contains 20,640 observations of California census block groups, each described by 8 numerical features and one continuous target variable representing median house value.</w:t>
      </w:r>
    </w:p>
    <w:p>
      <w:pPr>
        <w:spacing w:before="80" w:after="80"/>
      </w:pPr>
      <w:r>
        <w:t xml:space="preserve"/>
      </w:r>
    </w:p>
    <w:p>
      <w:pPr>
        <w:pStyle w:val="Heading1"/>
        <w:spacing w:before="320" w:after="160"/>
      </w:pPr>
      <w:r>
        <w:rPr>
          <w:rFonts w:ascii="Arial" w:cs="Arial" w:eastAsia="Arial" w:hAnsi="Arial"/>
          <w:b/>
          <w:bCs/>
          <w:color w:val="1F3864"/>
          <w:sz w:val="32"/>
          <w:szCs w:val="32"/>
        </w:rPr>
        <w:t xml:space="preserve">2. Exploratory Data Analysis (EDA)</w:t>
      </w:r>
    </w:p>
    <w:p>
      <w:pPr>
        <w:spacing w:before="60" w:after="100"/>
      </w:pPr>
      <w:r>
        <w:rPr>
          <w:rFonts w:ascii="Arial" w:cs="Arial" w:eastAsia="Arial" w:hAnsi="Arial"/>
          <w:sz w:val="22"/>
          <w:szCs w:val="22"/>
        </w:rPr>
        <w:t xml:space="preserve">The following EDA steps were applied to understand the dataset's structure, distribution, and relationships before modelling.</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2.1  Feature Inspection</w:t>
      </w:r>
    </w:p>
    <w:p>
      <w:pPr>
        <w:spacing w:before="60" w:after="100"/>
      </w:pPr>
      <w:r>
        <w:rPr>
          <w:rFonts w:ascii="Arial" w:cs="Arial" w:eastAsia="Arial" w:hAnsi="Arial"/>
          <w:sz w:val="22"/>
          <w:szCs w:val="22"/>
        </w:rPr>
        <w:t xml:space="preserve">The feature set was isolated by dropping the target column MedHouseVal, producing a DataFrame of 8 predictor variables:</w:t>
      </w:r>
    </w:p>
    <w:p>
      <w:pPr>
        <w:pStyle w:val="ListParagraph"/>
        <w:numPr>
          <w:ilvl w:val="0"/>
          <w:numId w:val="2"/>
        </w:numPr>
        <w:spacing w:before="40" w:after="40"/>
      </w:pPr>
      <w:r>
        <w:rPr>
          <w:rFonts w:ascii="Arial" w:cs="Arial" w:eastAsia="Arial" w:hAnsi="Arial"/>
          <w:sz w:val="22"/>
          <w:szCs w:val="22"/>
        </w:rPr>
        <w:t xml:space="preserve">MedInc — Median income of the block group</w:t>
      </w:r>
    </w:p>
    <w:p>
      <w:pPr>
        <w:pStyle w:val="ListParagraph"/>
        <w:numPr>
          <w:ilvl w:val="0"/>
          <w:numId w:val="2"/>
        </w:numPr>
        <w:spacing w:before="40" w:after="40"/>
      </w:pPr>
      <w:r>
        <w:rPr>
          <w:rFonts w:ascii="Arial" w:cs="Arial" w:eastAsia="Arial" w:hAnsi="Arial"/>
          <w:sz w:val="22"/>
          <w:szCs w:val="22"/>
        </w:rPr>
        <w:t xml:space="preserve">HouseAge — Median age of houses in the block group</w:t>
      </w:r>
    </w:p>
    <w:p>
      <w:pPr>
        <w:pStyle w:val="ListParagraph"/>
        <w:numPr>
          <w:ilvl w:val="0"/>
          <w:numId w:val="2"/>
        </w:numPr>
        <w:spacing w:before="40" w:after="40"/>
      </w:pPr>
      <w:r>
        <w:rPr>
          <w:rFonts w:ascii="Arial" w:cs="Arial" w:eastAsia="Arial" w:hAnsi="Arial"/>
          <w:sz w:val="22"/>
          <w:szCs w:val="22"/>
        </w:rPr>
        <w:t xml:space="preserve">AveRooms — Average number of rooms per household</w:t>
      </w:r>
    </w:p>
    <w:p>
      <w:pPr>
        <w:pStyle w:val="ListParagraph"/>
        <w:numPr>
          <w:ilvl w:val="0"/>
          <w:numId w:val="2"/>
        </w:numPr>
        <w:spacing w:before="40" w:after="40"/>
      </w:pPr>
      <w:r>
        <w:rPr>
          <w:rFonts w:ascii="Arial" w:cs="Arial" w:eastAsia="Arial" w:hAnsi="Arial"/>
          <w:sz w:val="22"/>
          <w:szCs w:val="22"/>
        </w:rPr>
        <w:t xml:space="preserve">AveBedrms — Average number of bedrooms per household</w:t>
      </w:r>
    </w:p>
    <w:p>
      <w:pPr>
        <w:pStyle w:val="ListParagraph"/>
        <w:numPr>
          <w:ilvl w:val="0"/>
          <w:numId w:val="2"/>
        </w:numPr>
        <w:spacing w:before="40" w:after="40"/>
      </w:pPr>
      <w:r>
        <w:rPr>
          <w:rFonts w:ascii="Arial" w:cs="Arial" w:eastAsia="Arial" w:hAnsi="Arial"/>
          <w:sz w:val="22"/>
          <w:szCs w:val="22"/>
        </w:rPr>
        <w:t xml:space="preserve">Population — Total population of the block group</w:t>
      </w:r>
    </w:p>
    <w:p>
      <w:pPr>
        <w:pStyle w:val="ListParagraph"/>
        <w:numPr>
          <w:ilvl w:val="0"/>
          <w:numId w:val="2"/>
        </w:numPr>
        <w:spacing w:before="40" w:after="40"/>
      </w:pPr>
      <w:r>
        <w:rPr>
          <w:rFonts w:ascii="Arial" w:cs="Arial" w:eastAsia="Arial" w:hAnsi="Arial"/>
          <w:sz w:val="22"/>
          <w:szCs w:val="22"/>
        </w:rPr>
        <w:t xml:space="preserve">AveOccup — Average household occupancy</w:t>
      </w:r>
    </w:p>
    <w:p>
      <w:pPr>
        <w:pStyle w:val="ListParagraph"/>
        <w:numPr>
          <w:ilvl w:val="0"/>
          <w:numId w:val="2"/>
        </w:numPr>
        <w:spacing w:before="40" w:after="40"/>
      </w:pPr>
      <w:r>
        <w:rPr>
          <w:rFonts w:ascii="Arial" w:cs="Arial" w:eastAsia="Arial" w:hAnsi="Arial"/>
          <w:sz w:val="22"/>
          <w:szCs w:val="22"/>
        </w:rPr>
        <w:t xml:space="preserve">Latitude / Longitude — Geographic coordinates of the block group</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Dimensionality Check</w:t>
      </w:r>
    </w:p>
    <w:p>
      <w:pPr>
        <w:spacing w:before="60" w:after="100"/>
      </w:pPr>
      <w:r>
        <w:rPr>
          <w:rFonts w:ascii="Arial" w:cs="Arial" w:eastAsia="Arial" w:hAnsi="Arial"/>
          <w:sz w:val="22"/>
          <w:szCs w:val="22"/>
        </w:rPr>
        <w:t xml:space="preserve">df.shape was used to confirm the dataset dimensions: 20,640 rows and 9 columns (8 features + target). This confirmed a sufficiently large dataset for training robust regression models.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2.3  Missing Value Analysis</w:t>
      </w:r>
    </w:p>
    <w:p>
      <w:pPr>
        <w:spacing w:before="60" w:after="100"/>
      </w:pPr>
      <w:r>
        <w:rPr>
          <w:rFonts w:ascii="Arial" w:cs="Arial" w:eastAsia="Arial" w:hAnsi="Arial"/>
          <w:sz w:val="22"/>
          <w:szCs w:val="22"/>
        </w:rPr>
        <w:t xml:space="preserve">df.isnull().sum() was applied across all columns. No missing values were found in any feature or the target variable, so no imputation was required.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2.4  Summary Statistics</w:t>
      </w:r>
    </w:p>
    <w:p>
      <w:pPr>
        <w:spacing w:before="60" w:after="100"/>
      </w:pPr>
      <w:r>
        <w:rPr>
          <w:rFonts w:ascii="Arial" w:cs="Arial" w:eastAsia="Arial" w:hAnsi="Arial"/>
          <w:sz w:val="22"/>
          <w:szCs w:val="22"/>
        </w:rPr>
        <w:t xml:space="preserve">df.describe() was used to inspect the distribution of each feature, revealing key statistics including mean, standard deviation, min, max, and quartile boundaries. This highlighted that some features (e.g., AveRooms, Population) had large ranges and potential outliers.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2.5  Target Distribution</w:t>
      </w:r>
    </w:p>
    <w:p>
      <w:pPr>
        <w:spacing w:before="60" w:after="100"/>
      </w:pPr>
      <w:r>
        <w:rPr>
          <w:rFonts w:ascii="Arial" w:cs="Arial" w:eastAsia="Arial" w:hAnsi="Arial"/>
          <w:sz w:val="22"/>
          <w:szCs w:val="22"/>
        </w:rPr>
        <w:t xml:space="preserve">A histogram of MedHouseVal was plotted to examine the distribution of the target variable. The distribution showed a slight right skew with a notable spike at the upper end (~5.0), indicating a cap on reported values in the original census data.</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2.6  Correlation Matrix</w:t>
      </w:r>
    </w:p>
    <w:p>
      <w:pPr>
        <w:spacing w:before="60" w:after="100"/>
      </w:pPr>
      <w:r>
        <w:rPr>
          <w:rFonts w:ascii="Arial" w:cs="Arial" w:eastAsia="Arial" w:hAnsi="Arial"/>
          <w:sz w:val="22"/>
          <w:szCs w:val="22"/>
        </w:rPr>
        <w:t xml:space="preserve">A heatmap of the Pearson correlation matrix was generated using seaborn. Key findings:</w:t>
      </w:r>
    </w:p>
    <w:p>
      <w:pPr>
        <w:pStyle w:val="ListParagraph"/>
        <w:numPr>
          <w:ilvl w:val="0"/>
          <w:numId w:val="2"/>
        </w:numPr>
        <w:spacing w:before="40" w:after="40"/>
      </w:pPr>
      <w:r>
        <w:rPr>
          <w:rFonts w:ascii="Arial" w:cs="Arial" w:eastAsia="Arial" w:hAnsi="Arial"/>
          <w:sz w:val="22"/>
          <w:szCs w:val="22"/>
        </w:rPr>
        <w:t xml:space="preserve">MedInc showed the strongest positive correlation with MedHouseVal (~0.69), making it the most predictive feature.</w:t>
      </w:r>
    </w:p>
    <w:p>
      <w:pPr>
        <w:pStyle w:val="ListParagraph"/>
        <w:numPr>
          <w:ilvl w:val="0"/>
          <w:numId w:val="2"/>
        </w:numPr>
        <w:spacing w:before="40" w:after="40"/>
      </w:pPr>
      <w:r>
        <w:rPr>
          <w:rFonts w:ascii="Arial" w:cs="Arial" w:eastAsia="Arial" w:hAnsi="Arial"/>
          <w:sz w:val="22"/>
          <w:szCs w:val="22"/>
        </w:rPr>
        <w:t xml:space="preserve">Latitude had a moderate negative correlation with house value.</w:t>
      </w:r>
    </w:p>
    <w:p>
      <w:pPr>
        <w:pStyle w:val="ListParagraph"/>
        <w:numPr>
          <w:ilvl w:val="0"/>
          <w:numId w:val="2"/>
        </w:numPr>
        <w:spacing w:before="40" w:after="40"/>
      </w:pPr>
      <w:r>
        <w:rPr>
          <w:rFonts w:ascii="Arial" w:cs="Arial" w:eastAsia="Arial" w:hAnsi="Arial"/>
          <w:sz w:val="22"/>
          <w:szCs w:val="22"/>
        </w:rPr>
        <w:t xml:space="preserve">AveRooms and AveBedrms were positively correlated with each other but had weaker correlations with the target.</w:t>
      </w:r>
    </w:p>
    <w:p>
      <w:pPr>
        <w:pStyle w:val="ListParagraph"/>
        <w:numPr>
          <w:ilvl w:val="0"/>
          <w:numId w:val="2"/>
        </w:numPr>
        <w:spacing w:before="40" w:after="40"/>
      </w:pPr>
      <w:r>
        <w:rPr>
          <w:rFonts w:ascii="Arial" w:cs="Arial" w:eastAsia="Arial" w:hAnsi="Arial"/>
          <w:sz w:val="22"/>
          <w:szCs w:val="22"/>
        </w:rPr>
        <w:t xml:space="preserve">Population and AveOccup showed minimal linear correlation with the target.</w:t>
      </w:r>
    </w:p>
    <w:p>
      <w:pPr>
        <w:spacing w:before="80" w:after="80"/>
      </w:pPr>
      <w:r>
        <w:t xml:space="preserve"/>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3. Data Split</w:t>
      </w:r>
    </w:p>
    <w:p>
      <w:pPr>
        <w:spacing w:before="60" w:after="100"/>
      </w:pPr>
      <w:r>
        <w:rPr>
          <w:rFonts w:ascii="Arial" w:cs="Arial" w:eastAsia="Arial" w:hAnsi="Arial"/>
          <w:sz w:val="22"/>
          <w:szCs w:val="22"/>
        </w:rPr>
        <w:t xml:space="preserve">The dataset was split into training and test sets using scikit-learn's train_test_split with the following parameters: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sz w:val="22"/>
                <w:szCs w:val="22"/>
              </w:rPr>
              <w:t xml:space="preserve">Test size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sz w:val="22"/>
                <w:szCs w:val="22"/>
              </w:rPr>
              <w:t xml:space="preserve">20% of data (4,128 samples)</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60"/>
              <w:bottom w:type="dxa" w:w="80"/>
              <w:right w:type="dxa" w:w="120"/>
            </w:tcMar>
          </w:tcPr>
          <w:p>
            <w:r>
              <w:rPr>
                <w:rFonts w:ascii="Arial" w:cs="Arial" w:eastAsia="Arial" w:hAnsi="Arial"/>
                <w:b/>
                <w:bCs/>
                <w:sz w:val="22"/>
                <w:szCs w:val="22"/>
              </w:rPr>
              <w:t xml:space="preserve">Train size</w:t>
            </w:r>
          </w:p>
        </w:tc>
        <w:tc>
          <w:tcPr>
            <w:tcW w:type="dxa" w:w="6240"/>
            <w:tcBorders>
              <w:top w:val="single" w:color="CCCCCC" w:sz="1"/>
              <w:left w:val="single" w:color="CCCCCC" w:sz="1"/>
              <w:bottom w:val="single" w:color="CCCCCC" w:sz="1"/>
              <w:right w:val="single" w:color="CCCCCC" w:sz="1"/>
            </w:tcBorders>
            <w:shd w:fill="F7FBFF" w:val="clear"/>
            <w:tcMar>
              <w:top w:type="dxa" w:w="80"/>
              <w:left w:type="dxa" w:w="160"/>
              <w:bottom w:type="dxa" w:w="80"/>
              <w:right w:type="dxa" w:w="120"/>
            </w:tcMar>
          </w:tcPr>
          <w:p>
            <w:r>
              <w:rPr>
                <w:rFonts w:ascii="Arial" w:cs="Arial" w:eastAsia="Arial" w:hAnsi="Arial"/>
                <w:sz w:val="22"/>
                <w:szCs w:val="22"/>
              </w:rPr>
              <w:t xml:space="preserve">80% of data (16,512 samples)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sz w:val="22"/>
                <w:szCs w:val="22"/>
              </w:rPr>
              <w:t xml:space="preserve">random_state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sz w:val="22"/>
                <w:szCs w:val="22"/>
              </w:rPr>
              <w:t xml:space="preserve">100 (ensures reproducibility)</w:t>
            </w:r>
          </w:p>
        </w:tc>
      </w:tr>
      <w:tr>
        <w:tc>
          <w:tcPr>
            <w:tcW w:type="dxa" w:w="3120"/>
            <w:tcBorders>
              <w:top w:val="single" w:color="CCCCCC" w:sz="1"/>
              <w:left w:val="single" w:color="CCCCCC" w:sz="1"/>
              <w:bottom w:val="single" w:color="CCCCCC" w:sz="1"/>
              <w:right w:val="single" w:color="CCCCCC" w:sz="1"/>
            </w:tcBorders>
            <w:shd w:fill="F7FBFF" w:val="clear"/>
            <w:tcMar>
              <w:top w:type="dxa" w:w="80"/>
              <w:left w:type="dxa" w:w="160"/>
              <w:bottom w:type="dxa" w:w="80"/>
              <w:right w:type="dxa" w:w="120"/>
            </w:tcMar>
          </w:tcPr>
          <w:p>
            <w:r>
              <w:rPr>
                <w:rFonts w:ascii="Arial" w:cs="Arial" w:eastAsia="Arial" w:hAnsi="Arial"/>
                <w:b/>
                <w:bCs/>
                <w:sz w:val="22"/>
                <w:szCs w:val="22"/>
              </w:rPr>
              <w:t xml:space="preserve">shuffle</w:t>
            </w:r>
          </w:p>
        </w:tc>
        <w:tc>
          <w:tcPr>
            <w:tcW w:type="dxa" w:w="6240"/>
            <w:tcBorders>
              <w:top w:val="single" w:color="CCCCCC" w:sz="1"/>
              <w:left w:val="single" w:color="CCCCCC" w:sz="1"/>
              <w:bottom w:val="single" w:color="CCCCCC" w:sz="1"/>
              <w:right w:val="single" w:color="CCCCCC" w:sz="1"/>
            </w:tcBorders>
            <w:shd w:fill="F7FBFF" w:val="clear"/>
            <w:tcMar>
              <w:top w:type="dxa" w:w="80"/>
              <w:left w:type="dxa" w:w="160"/>
              <w:bottom w:type="dxa" w:w="80"/>
              <w:right w:type="dxa" w:w="120"/>
            </w:tcMar>
          </w:tcPr>
          <w:p>
            <w:r>
              <w:rPr>
                <w:rFonts w:ascii="Arial" w:cs="Arial" w:eastAsia="Arial" w:hAnsi="Arial"/>
                <w:sz w:val="22"/>
                <w:szCs w:val="22"/>
              </w:rPr>
              <w:t xml:space="preserve">True (data shuffled before splitting)</w:t>
            </w:r>
          </w:p>
        </w:tc>
      </w:tr>
    </w:tbl>
    <w:p>
      <w:pPr>
        <w:spacing w:before="80" w:after="80"/>
      </w:pPr>
      <w:r>
        <w:t xml:space="preserve"/>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4. Models &amp; Tuning Methods</w:t>
      </w:r>
    </w:p>
    <w:p>
      <w:pPr>
        <w:spacing w:before="60" w:after="100"/>
      </w:pPr>
      <w:r>
        <w:rPr>
          <w:rFonts w:ascii="Arial" w:cs="Arial" w:eastAsia="Arial" w:hAnsi="Arial"/>
          <w:sz w:val="22"/>
          <w:szCs w:val="22"/>
        </w:rPr>
        <w:t xml:space="preserve">Four regression models were trained and evaluated. Each model was paired with a specific hyperparameter optimisation strategy to produce the best possible performance for that algorithm.</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4.1  Linear Regression — No Tuning</w:t>
      </w:r>
    </w:p>
    <w:p>
      <w:pPr>
        <w:spacing w:before="60" w:after="100"/>
      </w:pPr>
      <w:r>
        <w:rPr>
          <w:rFonts w:ascii="Arial" w:cs="Arial" w:eastAsia="Arial" w:hAnsi="Arial"/>
          <w:sz w:val="22"/>
          <w:szCs w:val="22"/>
        </w:rPr>
        <w:t xml:space="preserve">A baseline LinearRegression model from scikit-learn was fitted directly on the training data with default parameters. No hyperparameter optimisation was applied, as linear regression has no significant hyperparameters to tune. This model serves as a performance benchmark for the ensemble methods.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4.2  Random Forest — GridSearchCV</w:t>
      </w:r>
    </w:p>
    <w:p>
      <w:pPr>
        <w:spacing w:before="60" w:after="100"/>
      </w:pPr>
      <w:r>
        <w:rPr>
          <w:rFonts w:ascii="Arial" w:cs="Arial" w:eastAsia="Arial" w:hAnsi="Arial"/>
          <w:sz w:val="22"/>
          <w:szCs w:val="22"/>
        </w:rPr>
        <w:t xml:space="preserve">A RandomForestRegressor was tuned using GridSearchCV with 3-fold cross-validation. Grid search performs an exhaustive search over all specified parameter combinations, selecting the configuration that minimises the negative mean squared error. The parameter grid covered:</w:t>
      </w:r>
    </w:p>
    <w:p>
      <w:pPr>
        <w:pStyle w:val="ListParagraph"/>
        <w:numPr>
          <w:ilvl w:val="0"/>
          <w:numId w:val="2"/>
        </w:numPr>
        <w:spacing w:before="40" w:after="40"/>
      </w:pPr>
      <w:r>
        <w:rPr>
          <w:rFonts w:ascii="Arial" w:cs="Arial" w:eastAsia="Arial" w:hAnsi="Arial"/>
          <w:sz w:val="22"/>
          <w:szCs w:val="22"/>
        </w:rPr>
        <w:t xml:space="preserve">n_estimators: [100, 200, 300]</w:t>
      </w:r>
    </w:p>
    <w:p>
      <w:pPr>
        <w:pStyle w:val="ListParagraph"/>
        <w:numPr>
          <w:ilvl w:val="0"/>
          <w:numId w:val="2"/>
        </w:numPr>
        <w:spacing w:before="40" w:after="40"/>
      </w:pPr>
      <w:r>
        <w:rPr>
          <w:rFonts w:ascii="Arial" w:cs="Arial" w:eastAsia="Arial" w:hAnsi="Arial"/>
          <w:sz w:val="22"/>
          <w:szCs w:val="22"/>
        </w:rPr>
        <w:t xml:space="preserve">max_depth: [None, 10]</w:t>
      </w:r>
    </w:p>
    <w:p>
      <w:pPr>
        <w:pStyle w:val="ListParagraph"/>
        <w:numPr>
          <w:ilvl w:val="0"/>
          <w:numId w:val="2"/>
        </w:numPr>
        <w:spacing w:before="40" w:after="40"/>
      </w:pPr>
      <w:r>
        <w:rPr>
          <w:rFonts w:ascii="Arial" w:cs="Arial" w:eastAsia="Arial" w:hAnsi="Arial"/>
          <w:sz w:val="22"/>
          <w:szCs w:val="22"/>
        </w:rPr>
        <w:t xml:space="preserve">min_samples_split: [2, 5]</w:t>
      </w:r>
    </w:p>
    <w:p>
      <w:pPr>
        <w:pStyle w:val="ListParagraph"/>
        <w:numPr>
          <w:ilvl w:val="0"/>
          <w:numId w:val="2"/>
        </w:numPr>
        <w:spacing w:before="40" w:after="40"/>
      </w:pPr>
      <w:r>
        <w:rPr>
          <w:rFonts w:ascii="Arial" w:cs="Arial" w:eastAsia="Arial" w:hAnsi="Arial"/>
          <w:sz w:val="22"/>
          <w:szCs w:val="22"/>
        </w:rPr>
        <w:t xml:space="preserve">min_samples_leaf: [1, 2]</w:t>
      </w:r>
    </w:p>
    <w:p>
      <w:pPr>
        <w:pStyle w:val="ListParagraph"/>
        <w:numPr>
          <w:ilvl w:val="0"/>
          <w:numId w:val="2"/>
        </w:numPr>
        <w:spacing w:before="40" w:after="40"/>
      </w:pPr>
      <w:r>
        <w:rPr>
          <w:rFonts w:ascii="Arial" w:cs="Arial" w:eastAsia="Arial" w:hAnsi="Arial"/>
          <w:sz w:val="22"/>
          <w:szCs w:val="22"/>
        </w:rPr>
        <w:t xml:space="preserve">max_features: ['sqrt', 0.5]</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4.3  Gradient Boosting — RandomizedSearchCV</w:t>
      </w:r>
    </w:p>
    <w:p>
      <w:pPr>
        <w:spacing w:before="60" w:after="100"/>
      </w:pPr>
      <w:r>
        <w:rPr>
          <w:rFonts w:ascii="Arial" w:cs="Arial" w:eastAsia="Arial" w:hAnsi="Arial"/>
          <w:sz w:val="22"/>
          <w:szCs w:val="22"/>
        </w:rPr>
        <w:t xml:space="preserve">A GradientBoostingRegressor was tuned using RandomizedSearchCV with 3-fold cross-validation and 50 iterations. Random search samples parameter combinations from defined distributions rather than testing every combination, making it more efficient for larger search spaces. The distributions covered:</w:t>
      </w:r>
    </w:p>
    <w:p>
      <w:pPr>
        <w:pStyle w:val="ListParagraph"/>
        <w:numPr>
          <w:ilvl w:val="0"/>
          <w:numId w:val="2"/>
        </w:numPr>
        <w:spacing w:before="40" w:after="40"/>
      </w:pPr>
      <w:r>
        <w:rPr>
          <w:rFonts w:ascii="Arial" w:cs="Arial" w:eastAsia="Arial" w:hAnsi="Arial"/>
          <w:sz w:val="22"/>
          <w:szCs w:val="22"/>
        </w:rPr>
        <w:t xml:space="preserve">n_estimators: randint(100, 300)</w:t>
      </w:r>
    </w:p>
    <w:p>
      <w:pPr>
        <w:pStyle w:val="ListParagraph"/>
        <w:numPr>
          <w:ilvl w:val="0"/>
          <w:numId w:val="2"/>
        </w:numPr>
        <w:spacing w:before="40" w:after="40"/>
      </w:pPr>
      <w:r>
        <w:rPr>
          <w:rFonts w:ascii="Arial" w:cs="Arial" w:eastAsia="Arial" w:hAnsi="Arial"/>
          <w:sz w:val="22"/>
          <w:szCs w:val="22"/>
        </w:rPr>
        <w:t xml:space="preserve">learning_rate: uniform(0.01, 0.09)</w:t>
      </w:r>
    </w:p>
    <w:p>
      <w:pPr>
        <w:pStyle w:val="ListParagraph"/>
        <w:numPr>
          <w:ilvl w:val="0"/>
          <w:numId w:val="2"/>
        </w:numPr>
        <w:spacing w:before="40" w:after="40"/>
      </w:pPr>
      <w:r>
        <w:rPr>
          <w:rFonts w:ascii="Arial" w:cs="Arial" w:eastAsia="Arial" w:hAnsi="Arial"/>
          <w:sz w:val="22"/>
          <w:szCs w:val="22"/>
        </w:rPr>
        <w:t xml:space="preserve">max_depth: randint(3, 6)</w:t>
      </w:r>
    </w:p>
    <w:p>
      <w:pPr>
        <w:pStyle w:val="ListParagraph"/>
        <w:numPr>
          <w:ilvl w:val="0"/>
          <w:numId w:val="2"/>
        </w:numPr>
        <w:spacing w:before="40" w:after="40"/>
      </w:pPr>
      <w:r>
        <w:rPr>
          <w:rFonts w:ascii="Arial" w:cs="Arial" w:eastAsia="Arial" w:hAnsi="Arial"/>
          <w:sz w:val="22"/>
          <w:szCs w:val="22"/>
        </w:rPr>
        <w:t xml:space="preserve">min_samples_split: randint(2, 6)</w:t>
      </w:r>
    </w:p>
    <w:p>
      <w:pPr>
        <w:pStyle w:val="ListParagraph"/>
        <w:numPr>
          <w:ilvl w:val="0"/>
          <w:numId w:val="2"/>
        </w:numPr>
        <w:spacing w:before="40" w:after="40"/>
      </w:pPr>
      <w:r>
        <w:rPr>
          <w:rFonts w:ascii="Arial" w:cs="Arial" w:eastAsia="Arial" w:hAnsi="Arial"/>
          <w:sz w:val="22"/>
          <w:szCs w:val="22"/>
        </w:rPr>
        <w:t xml:space="preserve">min_samples_leaf: randint(1, 3)</w:t>
      </w:r>
    </w:p>
    <w:p>
      <w:pPr>
        <w:pStyle w:val="ListParagraph"/>
        <w:numPr>
          <w:ilvl w:val="0"/>
          <w:numId w:val="2"/>
        </w:numPr>
        <w:spacing w:before="40" w:after="40"/>
      </w:pPr>
      <w:r>
        <w:rPr>
          <w:rFonts w:ascii="Arial" w:cs="Arial" w:eastAsia="Arial" w:hAnsi="Arial"/>
          <w:sz w:val="22"/>
          <w:szCs w:val="22"/>
        </w:rPr>
        <w:t xml:space="preserve">subsample: uniform(0.8, 0.2)</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4.4  XGBoost — Hyperopt (TPE)</w:t>
      </w:r>
    </w:p>
    <w:p>
      <w:pPr>
        <w:spacing w:before="60" w:after="100"/>
      </w:pPr>
      <w:r>
        <w:rPr>
          <w:rFonts w:ascii="Arial" w:cs="Arial" w:eastAsia="Arial" w:hAnsi="Arial"/>
          <w:sz w:val="22"/>
          <w:szCs w:val="22"/>
        </w:rPr>
        <w:t xml:space="preserve">An XGBRegressor was tuned using Hyperopt with the Tree-structured Parzen Estimator (TPE) algorithm over 50 evaluation trials. TPE is a Bayesian optimisation method that builds a probabilistic model of the objective function and focuses search on the most promising regions of the parameter space. The search space covered:</w:t>
      </w:r>
    </w:p>
    <w:p>
      <w:pPr>
        <w:pStyle w:val="ListParagraph"/>
        <w:numPr>
          <w:ilvl w:val="0"/>
          <w:numId w:val="2"/>
        </w:numPr>
        <w:spacing w:before="40" w:after="40"/>
      </w:pPr>
      <w:r>
        <w:rPr>
          <w:rFonts w:ascii="Arial" w:cs="Arial" w:eastAsia="Arial" w:hAnsi="Arial"/>
          <w:sz w:val="22"/>
          <w:szCs w:val="22"/>
        </w:rPr>
        <w:t xml:space="preserve">n_estimators: choice([50, 100, 150, 200])</w:t>
      </w:r>
    </w:p>
    <w:p>
      <w:pPr>
        <w:pStyle w:val="ListParagraph"/>
        <w:numPr>
          <w:ilvl w:val="0"/>
          <w:numId w:val="2"/>
        </w:numPr>
        <w:spacing w:before="40" w:after="40"/>
      </w:pPr>
      <w:r>
        <w:rPr>
          <w:rFonts w:ascii="Arial" w:cs="Arial" w:eastAsia="Arial" w:hAnsi="Arial"/>
          <w:sz w:val="22"/>
          <w:szCs w:val="22"/>
        </w:rPr>
        <w:t xml:space="preserve">learning_rate: loguniform(-4.6, -1.6)</w:t>
      </w:r>
    </w:p>
    <w:p>
      <w:pPr>
        <w:pStyle w:val="ListParagraph"/>
        <w:numPr>
          <w:ilvl w:val="0"/>
          <w:numId w:val="2"/>
        </w:numPr>
        <w:spacing w:before="40" w:after="40"/>
      </w:pPr>
      <w:r>
        <w:rPr>
          <w:rFonts w:ascii="Arial" w:cs="Arial" w:eastAsia="Arial" w:hAnsi="Arial"/>
          <w:sz w:val="22"/>
          <w:szCs w:val="22"/>
        </w:rPr>
        <w:t xml:space="preserve">max_depth: randint(3, 9)</w:t>
      </w:r>
    </w:p>
    <w:p>
      <w:pPr>
        <w:pStyle w:val="ListParagraph"/>
        <w:numPr>
          <w:ilvl w:val="0"/>
          <w:numId w:val="2"/>
        </w:numPr>
        <w:spacing w:before="40" w:after="40"/>
      </w:pPr>
      <w:r>
        <w:rPr>
          <w:rFonts w:ascii="Arial" w:cs="Arial" w:eastAsia="Arial" w:hAnsi="Arial"/>
          <w:sz w:val="22"/>
          <w:szCs w:val="22"/>
        </w:rPr>
        <w:t xml:space="preserve">subsample: uniform(0.8, 1.0)</w:t>
      </w:r>
    </w:p>
    <w:p>
      <w:pPr>
        <w:pStyle w:val="ListParagraph"/>
        <w:numPr>
          <w:ilvl w:val="0"/>
          <w:numId w:val="2"/>
        </w:numPr>
        <w:spacing w:before="40" w:after="40"/>
      </w:pPr>
      <w:r>
        <w:rPr>
          <w:rFonts w:ascii="Arial" w:cs="Arial" w:eastAsia="Arial" w:hAnsi="Arial"/>
          <w:sz w:val="22"/>
          <w:szCs w:val="22"/>
        </w:rPr>
        <w:t xml:space="preserve">colsample_bytree: uniform(0.8, 1.0)</w:t>
      </w:r>
    </w:p>
    <w:p>
      <w:pPr>
        <w:pStyle w:val="ListParagraph"/>
        <w:numPr>
          <w:ilvl w:val="0"/>
          <w:numId w:val="2"/>
        </w:numPr>
        <w:spacing w:before="40" w:after="40"/>
      </w:pPr>
      <w:r>
        <w:rPr>
          <w:rFonts w:ascii="Arial" w:cs="Arial" w:eastAsia="Arial" w:hAnsi="Arial"/>
          <w:sz w:val="22"/>
          <w:szCs w:val="22"/>
        </w:rPr>
        <w:t xml:space="preserve">gamma: uniform(0, 0.2)</w:t>
      </w:r>
    </w:p>
    <w:p>
      <w:pPr>
        <w:spacing w:before="80" w:after="80"/>
      </w:pPr>
      <w:r>
        <w:t xml:space="preserve"/>
      </w:r>
    </w:p>
    <w:p>
      <w:pPr>
        <w:pBdr>
          <w:bottom w:val="single" w:color="2E75B6" w:sz="6" w:space="1"/>
        </w:pBdr>
        <w:spacing w:before="160" w:after="160"/>
      </w:pPr>
      <w:r>
        <w:t xml:space="preserve"/>
      </w:r>
    </w:p>
    <w:p>
      <w:pPr>
        <w:pStyle w:val="Heading1"/>
        <w:spacing w:before="320" w:after="160"/>
      </w:pPr>
      <w:r>
        <w:rPr>
          <w:rFonts w:ascii="Arial" w:cs="Arial" w:eastAsia="Arial" w:hAnsi="Arial"/>
          <w:b/>
          <w:bCs/>
          <w:color w:val="1F3864"/>
          <w:sz w:val="32"/>
          <w:szCs w:val="32"/>
        </w:rPr>
        <w:t xml:space="preserve">5. Metric Comparisons</w:t>
      </w:r>
    </w:p>
    <w:p>
      <w:pPr>
        <w:spacing w:before="60" w:after="100"/>
      </w:pPr>
      <w:r>
        <w:rPr>
          <w:rFonts w:ascii="Arial" w:cs="Arial" w:eastAsia="Arial" w:hAnsi="Arial"/>
          <w:sz w:val="22"/>
          <w:szCs w:val="22"/>
        </w:rPr>
        <w:t xml:space="preserve">Performance was evaluated on both training and test sets using Mean Absolute Error (MAE), Mean Squared Error (MSE), and Root Mean Squared Error (RMSE). Lower values indicate better performance.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Grid Search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60"/>
        <w:gridCol w:w="1160"/>
        <w:gridCol w:w="1160"/>
        <w:gridCol w:w="1160"/>
        <w:gridCol w:w="1360"/>
        <w:gridCol w:w="1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MAE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MAE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MSE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MSE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RMSE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RMSE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Linear Regression</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0.5329</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0.5278</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0.5283</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0.5089</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0.7268</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0.7134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0.1214</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0.3216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0.0331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0.2269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0.1820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0.4763</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Gradient Boosting</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0.2622</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0.3078</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0.1386</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0.2143</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0.3724</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0.4629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0.1692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0.2867</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0.0580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0.1940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0.2409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0.4405</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Random Search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60"/>
        <w:gridCol w:w="1160"/>
        <w:gridCol w:w="1160"/>
        <w:gridCol w:w="1160"/>
        <w:gridCol w:w="1360"/>
        <w:gridCol w:w="1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MAE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MAE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MSE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MSE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RMSE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RMSE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Linear Regression</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0.5329</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0.5278</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0.5282</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0.5089</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0.7268</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0.7134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0.1521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0.3170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0.0600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0.2298</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0.2449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0.4794</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Gradient Boosting</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0.2435</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0.3009</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0.1188</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0.2072</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0.3447</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0.4551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0.1545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0.2851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0.0476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0.1933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0.2182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0.4397</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Hyperopt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60"/>
        <w:gridCol w:w="1160"/>
        <w:gridCol w:w="1160"/>
        <w:gridCol w:w="1160"/>
        <w:gridCol w:w="1360"/>
        <w:gridCol w:w="1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MAE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MAE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MSE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MSE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RMSE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RMSE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Linear Regression</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0.5329</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0.5278</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0.5283</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0.5089</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0.7268</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0.7134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0.5111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0.3157</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0.0593</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0.2281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0.2434</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0.4776</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Gradient Boosting</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0.2707</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0.3112</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0.1487</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0.2159</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0.3856</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0.4646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0.1399</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0.2840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0.0391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0.1913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0.1976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0.4374</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Optuna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60"/>
        <w:gridCol w:w="1160"/>
        <w:gridCol w:w="1160"/>
        <w:gridCol w:w="1160"/>
        <w:gridCol w:w="1360"/>
        <w:gridCol w:w="1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MAE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MAE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MSE</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MSE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 RMSE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RMSE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Linear Regression</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0.5329</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0.5278</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0.5283</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0.5089</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0.7268</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0.7134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Random Forest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0.1215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0.3216</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0.0331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0.2269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0.1820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0.4763</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Gradient Boosting</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0.2622</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0.3078</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0.1386</w:t>
            </w:r>
          </w:p>
        </w:tc>
        <w:tc>
          <w:tcPr>
            <w:tcW w:type="dxa" w:w="1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0.2143</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0.3724</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0.4629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0.1692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0.2867</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0.0580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0.1940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0.2409</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0.4405</w:t>
            </w:r>
          </w:p>
        </w:tc>
      </w:tr>
    </w:tbl>
    <w:p>
      <w:pPr>
        <w:spacing w:before="80" w:after="80"/>
      </w:pPr>
      <w:r>
        <w:t xml:space="preserve"/>
      </w:r>
    </w:p>
    <w:p>
      <w:pPr>
        <w:pBdr>
          <w:bottom w:val="single" w:color="2E75B6" w:sz="6" w:space="1"/>
        </w:pBdr>
        <w:spacing w:before="160" w:after="160"/>
      </w:pPr>
      <w:r>
        <w:t xml:space="preserve"/>
      </w:r>
    </w:p>
    <w:p>
      <w:pPr>
        <w:pStyle w:val="Heading2"/>
        <w:spacing w:before="240" w:after="120"/>
      </w:pPr>
      <w:r>
        <w:rPr>
          <w:rFonts w:ascii="Arial" w:cs="Arial" w:eastAsia="Arial" w:hAnsi="Arial"/>
          <w:b/>
          <w:bCs/>
          <w:color w:val="2E75B6"/>
          <w:sz w:val="26"/>
          <w:szCs w:val="26"/>
        </w:rPr>
        <w:t xml:space="preserve">Lowest Metrics per Model (Best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20"/>
        <w:gridCol w:w="1720"/>
        <w:gridCol w:w="172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Method</w:t>
            </w:r>
          </w:p>
        </w:tc>
        <w:tc>
          <w:tcPr>
            <w:tcW w:type="dxa" w:w="1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MAE</w:t>
            </w:r>
          </w:p>
        </w:tc>
        <w:tc>
          <w:tcPr>
            <w:tcW w:type="dxa" w:w="1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MSE</w:t>
            </w:r>
          </w:p>
        </w:tc>
        <w:tc>
          <w:tcPr>
            <w:tcW w:type="dxa" w:w="1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 RMSE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Linear Regression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w:t>
            </w:r>
          </w:p>
        </w:tc>
        <w:tc>
          <w:tcPr>
            <w:tcW w:type="dxa" w:w="1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0.5278</w:t>
            </w:r>
          </w:p>
        </w:tc>
        <w:tc>
          <w:tcPr>
            <w:tcW w:type="dxa" w:w="1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0.5089</w:t>
            </w:r>
          </w:p>
        </w:tc>
        <w:tc>
          <w:tcPr>
            <w:tcW w:type="dxa" w:w="1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0.7134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Grid Search</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0.3216</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0.2269</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0.4763</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bCs/>
                <w:sz w:val="20"/>
                <w:szCs w:val="20"/>
              </w:rPr>
              <w:t xml:space="preserve">Gradient Boosting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Random Search</w:t>
            </w:r>
          </w:p>
        </w:tc>
        <w:tc>
          <w:tcPr>
            <w:tcW w:type="dxa" w:w="1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0.3009</w:t>
            </w:r>
          </w:p>
        </w:tc>
        <w:tc>
          <w:tcPr>
            <w:tcW w:type="dxa" w:w="1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0.2072</w:t>
            </w:r>
          </w:p>
        </w:tc>
        <w:tc>
          <w:tcPr>
            <w:tcW w:type="dxa" w:w="17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0.4551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XGBoost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Hyperopt</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0.2840</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0.1913</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0.4374</w:t>
            </w:r>
          </w:p>
        </w:tc>
      </w:tr>
    </w:tbl>
    <w:p>
      <w:pPr>
        <w:spacing w:before="80" w:after="80"/>
      </w:pPr>
      <w:r>
        <w:t xml:space="preserve"/>
      </w:r>
    </w:p>
    <w:p>
      <w:pPr>
        <w:spacing w:before="160" w:after="80"/>
      </w:pPr>
      <w:r>
        <w:rPr>
          <w:rFonts w:ascii="Arial" w:cs="Arial" w:eastAsia="Arial" w:hAnsi="Arial"/>
          <w:b/>
          <w:bCs/>
          <w:sz w:val="22"/>
          <w:szCs w:val="22"/>
        </w:rPr>
        <w:t xml:space="preserve">Best overall model: </w:t>
      </w:r>
      <w:r>
        <w:rPr>
          <w:rFonts w:ascii="Arial" w:cs="Arial" w:eastAsia="Arial" w:hAnsi="Arial"/>
          <w:sz w:val="22"/>
          <w:szCs w:val="22"/>
        </w:rPr>
        <w:t xml:space="preserve">XGBoost (Hyperopt) — lowest Test MAE (0.2840), Test MSE (0.1913), and Test RMSE (0.4374) across all models and tuning strategies.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California Housing Regression Report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2026-03-23T13:34:23.753Z</dcterms:created>
  <dcterms:modified xsi:type="dcterms:W3CDTF">2026-03-23T13:34:23.754Z</dcterms:modified>
</cp:coreProperties>
</file>

<file path=docProps/custom.xml><?xml version="1.0" encoding="utf-8"?>
<Properties xmlns="http://schemas.openxmlformats.org/officeDocument/2006/custom-properties" xmlns:vt="http://schemas.openxmlformats.org/officeDocument/2006/docPropsVTypes"/>
</file>