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NUFORC Project — Website Plan</w:t>
      </w:r>
    </w:p>
    <w:p>
      <w:r>
        <w:rPr>
          <w:color w:val="555555"/>
          <w:sz w:val="20"/>
          <w:szCs w:val="20"/>
        </w:rPr>
        <w:t xml:space="preserve">Project: NUFORC Project</w:t>
      </w:r>
    </w:p>
    <w:p>
      <w:r>
        <w:rPr>
          <w:color w:val="555555"/>
          <w:sz w:val="20"/>
          <w:szCs w:val="20"/>
        </w:rPr>
        <w:t xml:space="preserve">Document: Website / dataviz plan</w:t>
      </w:r>
    </w:p>
    <w:p>
      <w:pPr>
        <w:spacing w:after="200"/>
      </w:pPr>
      <w:r>
        <w:rPr>
          <w:color w:val="555555"/>
          <w:sz w:val="20"/>
          <w:szCs w:val="20"/>
        </w:rPr>
        <w:t xml:space="preserve">Last updated: September 3, 2026</w:t>
      </w:r>
    </w:p>
    <w:p>
      <w:pPr>
        <w:pBdr>
          <w:bottom w:val="single" w:color="AAAAAA" w:sz="6" w:space="1"/>
        </w:pBdr>
        <w:spacing w:after="200"/>
      </w:pPr>
    </w:p>
    <w:p>
      <w:pPr>
        <w:pStyle w:val="Heading1"/>
        <w:spacing w:after="160" w:before="320"/>
      </w:pPr>
      <w:r>
        <w:t xml:space="preserve">Goal</w:t>
      </w:r>
    </w:p>
    <w:p>
      <w:pPr>
        <w:spacing w:after="160"/>
      </w:pPr>
      <w:r>
        <w:t xml:space="preserve">Build a public website that visualizes the NUFORC UFO sightings dataset, as a portfolio piece supporting a job search for Data Analyst and/or Data Engineer roles. This is the first website Josh has built; scope and tooling choices below were picked to keep the build learnable while still producing a genuinely differentiated portfolio piece (Tableau/Power BI skills are common — a deployed, hand-built data web app on top of a self-built pipeline is not).</w:t>
      </w:r>
    </w:p>
    <w:p>
      <w:pPr>
        <w:pStyle w:val="Heading1"/>
        <w:spacing w:after="160" w:before="320"/>
      </w:pPr>
      <w:r>
        <w:t xml:space="preserve">Positioning: two roles, one site</w:t>
      </w:r>
    </w:p>
    <w:p>
      <w:pPr>
        <w:spacing w:after="160"/>
      </w:pPr>
      <w:r>
        <w:t xml:space="preserve">Rather than compromise between the Analyst and Engineer angles, the site presents both, as two halves of the same project:</w:t>
      </w:r>
    </w:p>
    <w:p>
      <w:pPr>
        <w:pStyle w:val="ListParagraph"/>
        <w:numPr>
          <w:ilvl w:val="0"/>
          <w:numId w:val="2"/>
        </w:numPr>
        <w:spacing w:after="80"/>
      </w:pPr>
      <w:r>
        <w:t xml:space="preserve">Pipeline / case-study page — a short write-up of how the data is collected and cleaned (Cloudflare bypass, scrape loop, known gaps such as the missing dedup/incremental logic). This is the Data Engineer evidence, and draws directly on the existing scrape_nuforc.py Overview &amp; Changelog and Code Review documents.</w:t>
      </w:r>
    </w:p>
    <w:p>
      <w:pPr>
        <w:pStyle w:val="ListParagraph"/>
        <w:numPr>
          <w:ilvl w:val="0"/>
          <w:numId w:val="2"/>
        </w:numPr>
        <w:spacing w:after="80"/>
      </w:pPr>
      <w:r>
        <w:t xml:space="preserve">Dashboard page — the actual visuals recreating the sheets below. This is the Data Analyst evidence.</w:t>
      </w:r>
    </w:p>
    <w:p>
      <w:pPr>
        <w:pStyle w:val="Heading1"/>
        <w:spacing w:after="160" w:before="320"/>
      </w:pPr>
      <w:r>
        <w:t xml:space="preserve">Data source</w:t>
      </w:r>
    </w:p>
    <w:p>
      <w:pPr>
        <w:spacing w:after="160"/>
      </w:pPr>
      <w:r>
        <w:t xml:space="preserve">Postgres database nuforc, table nuforc_ufo_data, written by scrape_nuforc.py (Selenium + undetected_chromedriver, scraping https://nuforc.org/subndx/?id=all). The script currently replaces the table's full contents on every run (if_exists="replace"); incremental/dedup writing is not yet wired in. Columns below were confirmed directly from a fresh live export on September 2, 2026 (an earlier draft of this document assumed a “Posted” column from an older, since-deleted cleaning notebook — that column does not actually exist; Explanation does).</w:t>
      </w:r>
    </w:p>
    <w:tbl>
      <w:tblPr>
        <w:tblW w:type="dxa" w:w="7020"/>
        <w:tblBorders>
          <w:top w:val="single" w:color="auto" w:sz="4"/>
          <w:left w:val="single" w:color="auto" w:sz="4"/>
          <w:bottom w:val="single" w:color="auto" w:sz="4"/>
          <w:right w:val="single" w:color="auto" w:sz="4"/>
          <w:insideH w:val="single" w:color="auto" w:sz="4"/>
          <w:insideV w:val="single" w:color="auto" w:sz="4"/>
        </w:tblBorders>
      </w:tblPr>
      <w:tblGrid>
        <w:gridCol w:w="1500"/>
        <w:gridCol w:w="5520"/>
      </w:tblGrid>
      <w:tr>
        <w:trPr>
          <w:tblHeader/>
        </w:trPr>
        <w:tc>
          <w:tcPr>
            <w:tcW w:type="dxa" w:w="1500"/>
            <w:shd w:fill="2F5496" w:color="auto" w:val="clear"/>
            <w:tcMar>
              <w:top w:type="dxa" w:w="80"/>
              <w:left w:type="dxa" w:w="120"/>
              <w:bottom w:type="dxa" w:w="80"/>
              <w:right w:type="dxa" w:w="120"/>
            </w:tcMar>
          </w:tcPr>
          <w:p>
            <w:r>
              <w:rPr>
                <w:b/>
                <w:bCs/>
                <w:color w:val="FFFFFF"/>
                <w:sz w:val="20"/>
                <w:szCs w:val="20"/>
              </w:rPr>
              <w:t xml:space="preserve">Column</w:t>
            </w:r>
          </w:p>
        </w:tc>
        <w:tc>
          <w:tcPr>
            <w:tcW w:type="dxa" w:w="5520"/>
            <w:shd w:fill="2F5496" w:color="auto" w:val="clear"/>
            <w:tcMar>
              <w:top w:type="dxa" w:w="80"/>
              <w:left w:type="dxa" w:w="120"/>
              <w:bottom w:type="dxa" w:w="80"/>
              <w:right w:type="dxa" w:w="120"/>
            </w:tcMar>
          </w:tcPr>
          <w:p>
            <w:r>
              <w:rPr>
                <w:b/>
                <w:bCs/>
                <w:color w:val="FFFFFF"/>
                <w:sz w:val="20"/>
                <w:szCs w:val="20"/>
              </w:rPr>
              <w:t xml:space="preserve">Contents</w:t>
            </w:r>
          </w:p>
        </w:tc>
      </w:tr>
      <w:tr>
        <w:tc>
          <w:tcPr>
            <w:tcW w:type="dxa" w:w="1500"/>
            <w:tcMar>
              <w:top w:type="dxa" w:w="80"/>
              <w:left w:type="dxa" w:w="120"/>
              <w:bottom w:type="dxa" w:w="80"/>
              <w:right w:type="dxa" w:w="120"/>
            </w:tcMar>
          </w:tcPr>
          <w:p>
            <w:r>
              <w:rPr>
                <w:b w:val="false"/>
                <w:bCs w:val="false"/>
                <w:sz w:val="20"/>
                <w:szCs w:val="20"/>
              </w:rPr>
              <w:t xml:space="preserve">Occurred</w:t>
            </w:r>
          </w:p>
        </w:tc>
        <w:tc>
          <w:tcPr>
            <w:tcW w:type="dxa" w:w="5520"/>
            <w:tcMar>
              <w:top w:type="dxa" w:w="80"/>
              <w:left w:type="dxa" w:w="120"/>
              <w:bottom w:type="dxa" w:w="80"/>
              <w:right w:type="dxa" w:w="120"/>
            </w:tcMar>
          </w:tcPr>
          <w:p>
            <w:r>
              <w:rPr>
                <w:b w:val="false"/>
                <w:bCs w:val="false"/>
                <w:sz w:val="20"/>
                <w:szCs w:val="20"/>
              </w:rPr>
              <w:t xml:space="preserve">Date/time the sighting reportedly occurred</w:t>
            </w:r>
          </w:p>
        </w:tc>
      </w:tr>
      <w:tr>
        <w:tc>
          <w:tcPr>
            <w:tcW w:type="dxa" w:w="1500"/>
            <w:tcMar>
              <w:top w:type="dxa" w:w="80"/>
              <w:left w:type="dxa" w:w="120"/>
              <w:bottom w:type="dxa" w:w="80"/>
              <w:right w:type="dxa" w:w="120"/>
            </w:tcMar>
          </w:tcPr>
          <w:p>
            <w:r>
              <w:rPr>
                <w:b w:val="false"/>
                <w:bCs w:val="false"/>
                <w:sz w:val="20"/>
                <w:szCs w:val="20"/>
              </w:rPr>
              <w:t xml:space="preserve">City</w:t>
            </w:r>
          </w:p>
        </w:tc>
        <w:tc>
          <w:tcPr>
            <w:tcW w:type="dxa" w:w="5520"/>
            <w:tcMar>
              <w:top w:type="dxa" w:w="80"/>
              <w:left w:type="dxa" w:w="120"/>
              <w:bottom w:type="dxa" w:w="80"/>
              <w:right w:type="dxa" w:w="120"/>
            </w:tcMar>
          </w:tcPr>
          <w:p>
            <w:r>
              <w:rPr>
                <w:b w:val="false"/>
                <w:bCs w:val="false"/>
                <w:sz w:val="20"/>
                <w:szCs w:val="20"/>
              </w:rPr>
              <w:t xml:space="preserve">City name</w:t>
            </w:r>
          </w:p>
        </w:tc>
      </w:tr>
      <w:tr>
        <w:tc>
          <w:tcPr>
            <w:tcW w:type="dxa" w:w="1500"/>
            <w:tcMar>
              <w:top w:type="dxa" w:w="80"/>
              <w:left w:type="dxa" w:w="120"/>
              <w:bottom w:type="dxa" w:w="80"/>
              <w:right w:type="dxa" w:w="120"/>
            </w:tcMar>
          </w:tcPr>
          <w:p>
            <w:r>
              <w:rPr>
                <w:b w:val="false"/>
                <w:bCs w:val="false"/>
                <w:sz w:val="20"/>
                <w:szCs w:val="20"/>
              </w:rPr>
              <w:t xml:space="preserve">State</w:t>
            </w:r>
          </w:p>
        </w:tc>
        <w:tc>
          <w:tcPr>
            <w:tcW w:type="dxa" w:w="5520"/>
            <w:tcMar>
              <w:top w:type="dxa" w:w="80"/>
              <w:left w:type="dxa" w:w="120"/>
              <w:bottom w:type="dxa" w:w="80"/>
              <w:right w:type="dxa" w:w="120"/>
            </w:tcMar>
          </w:tcPr>
          <w:p>
            <w:r>
              <w:rPr>
                <w:b w:val="false"/>
                <w:bCs w:val="false"/>
                <w:sz w:val="20"/>
                <w:szCs w:val="20"/>
              </w:rPr>
              <w:t xml:space="preserve">US state or non-US region/province code</w:t>
            </w:r>
          </w:p>
        </w:tc>
      </w:tr>
      <w:tr>
        <w:tc>
          <w:tcPr>
            <w:tcW w:type="dxa" w:w="1500"/>
            <w:tcMar>
              <w:top w:type="dxa" w:w="80"/>
              <w:left w:type="dxa" w:w="120"/>
              <w:bottom w:type="dxa" w:w="80"/>
              <w:right w:type="dxa" w:w="120"/>
            </w:tcMar>
          </w:tcPr>
          <w:p>
            <w:r>
              <w:rPr>
                <w:b w:val="false"/>
                <w:bCs w:val="false"/>
                <w:sz w:val="20"/>
                <w:szCs w:val="20"/>
              </w:rPr>
              <w:t xml:space="preserve">Country</w:t>
            </w:r>
          </w:p>
        </w:tc>
        <w:tc>
          <w:tcPr>
            <w:tcW w:type="dxa" w:w="5520"/>
            <w:tcMar>
              <w:top w:type="dxa" w:w="80"/>
              <w:left w:type="dxa" w:w="120"/>
              <w:bottom w:type="dxa" w:w="80"/>
              <w:right w:type="dxa" w:w="120"/>
            </w:tcMar>
          </w:tcPr>
          <w:p>
            <w:r>
              <w:rPr>
                <w:b w:val="false"/>
                <w:bCs w:val="false"/>
                <w:sz w:val="20"/>
                <w:szCs w:val="20"/>
              </w:rPr>
              <w:t xml:space="preserve">Country name</w:t>
            </w:r>
          </w:p>
        </w:tc>
      </w:tr>
      <w:tr>
        <w:tc>
          <w:tcPr>
            <w:tcW w:type="dxa" w:w="1500"/>
            <w:tcMar>
              <w:top w:type="dxa" w:w="80"/>
              <w:left w:type="dxa" w:w="120"/>
              <w:bottom w:type="dxa" w:w="80"/>
              <w:right w:type="dxa" w:w="120"/>
            </w:tcMar>
          </w:tcPr>
          <w:p>
            <w:r>
              <w:rPr>
                <w:b w:val="false"/>
                <w:bCs w:val="false"/>
                <w:sz w:val="20"/>
                <w:szCs w:val="20"/>
              </w:rPr>
              <w:t xml:space="preserve">Shape</w:t>
            </w:r>
          </w:p>
        </w:tc>
        <w:tc>
          <w:tcPr>
            <w:tcW w:type="dxa" w:w="5520"/>
            <w:tcMar>
              <w:top w:type="dxa" w:w="80"/>
              <w:left w:type="dxa" w:w="120"/>
              <w:bottom w:type="dxa" w:w="80"/>
              <w:right w:type="dxa" w:w="120"/>
            </w:tcMar>
          </w:tcPr>
          <w:p>
            <w:r>
              <w:rPr>
                <w:b w:val="false"/>
                <w:bCs w:val="false"/>
                <w:sz w:val="20"/>
                <w:szCs w:val="20"/>
              </w:rPr>
              <w:t xml:space="preserve">Reported object shape (Light, Orb, Triangle, etc.)</w:t>
            </w:r>
          </w:p>
        </w:tc>
      </w:tr>
      <w:tr>
        <w:tc>
          <w:tcPr>
            <w:tcW w:type="dxa" w:w="1500"/>
            <w:tcMar>
              <w:top w:type="dxa" w:w="80"/>
              <w:left w:type="dxa" w:w="120"/>
              <w:bottom w:type="dxa" w:w="80"/>
              <w:right w:type="dxa" w:w="120"/>
            </w:tcMar>
          </w:tcPr>
          <w:p>
            <w:r>
              <w:rPr>
                <w:b w:val="false"/>
                <w:bCs w:val="false"/>
                <w:sz w:val="20"/>
                <w:szCs w:val="20"/>
              </w:rPr>
              <w:t xml:space="preserve">Reported</w:t>
            </w:r>
          </w:p>
        </w:tc>
        <w:tc>
          <w:tcPr>
            <w:tcW w:type="dxa" w:w="5520"/>
            <w:tcMar>
              <w:top w:type="dxa" w:w="80"/>
              <w:left w:type="dxa" w:w="120"/>
              <w:bottom w:type="dxa" w:w="80"/>
              <w:right w:type="dxa" w:w="120"/>
            </w:tcMar>
          </w:tcPr>
          <w:p>
            <w:r>
              <w:rPr>
                <w:b w:val="false"/>
                <w:bCs w:val="false"/>
                <w:sz w:val="20"/>
                <w:szCs w:val="20"/>
              </w:rPr>
              <w:t xml:space="preserve">Date the sighting was reported to NUFORC</w:t>
            </w:r>
          </w:p>
        </w:tc>
      </w:tr>
      <w:tr>
        <w:tc>
          <w:tcPr>
            <w:tcW w:type="dxa" w:w="1500"/>
            <w:tcMar>
              <w:top w:type="dxa" w:w="80"/>
              <w:left w:type="dxa" w:w="120"/>
              <w:bottom w:type="dxa" w:w="80"/>
              <w:right w:type="dxa" w:w="120"/>
            </w:tcMar>
          </w:tcPr>
          <w:p>
            <w:r>
              <w:rPr>
                <w:b w:val="false"/>
                <w:bCs w:val="false"/>
                <w:sz w:val="20"/>
                <w:szCs w:val="20"/>
              </w:rPr>
              <w:t xml:space="preserve">Explanation</w:t>
            </w:r>
          </w:p>
        </w:tc>
        <w:tc>
          <w:tcPr>
            <w:tcW w:type="dxa" w:w="5520"/>
            <w:tcMar>
              <w:top w:type="dxa" w:w="80"/>
              <w:left w:type="dxa" w:w="120"/>
              <w:bottom w:type="dxa" w:w="80"/>
              <w:right w:type="dxa" w:w="120"/>
            </w:tcMar>
          </w:tcPr>
          <w:p>
            <w:r>
              <w:rPr>
                <w:b w:val="false"/>
                <w:bCs w:val="false"/>
                <w:sz w:val="20"/>
                <w:szCs w:val="20"/>
              </w:rPr>
              <w:t xml:space="preserve">NUFORC's own classification of the report where given (e.g. “Planet/Star”, “Aircraft?”) — usually blank</w:t>
            </w:r>
          </w:p>
        </w:tc>
      </w:tr>
      <w:tr>
        <w:tc>
          <w:tcPr>
            <w:tcW w:type="dxa" w:w="1500"/>
            <w:tcMar>
              <w:top w:type="dxa" w:w="80"/>
              <w:left w:type="dxa" w:w="120"/>
              <w:bottom w:type="dxa" w:w="80"/>
              <w:right w:type="dxa" w:w="120"/>
            </w:tcMar>
          </w:tcPr>
          <w:p>
            <w:r>
              <w:rPr>
                <w:b w:val="false"/>
                <w:bCs w:val="false"/>
                <w:sz w:val="20"/>
                <w:szCs w:val="20"/>
              </w:rPr>
              <w:t xml:space="preserve">Summary — excluded</w:t>
            </w:r>
          </w:p>
        </w:tc>
        <w:tc>
          <w:tcPr>
            <w:tcW w:type="dxa" w:w="5520"/>
            <w:tcMar>
              <w:top w:type="dxa" w:w="80"/>
              <w:left w:type="dxa" w:w="120"/>
              <w:bottom w:type="dxa" w:w="80"/>
              <w:right w:type="dxa" w:w="120"/>
            </w:tcMar>
          </w:tcPr>
          <w:p>
            <w:r>
              <w:rPr>
                <w:b w:val="false"/>
                <w:bCs w:val="false"/>
                <w:sz w:val="20"/>
                <w:szCs w:val="20"/>
              </w:rPr>
              <w:t xml:space="preserve">Free-text sighting description. Not used in the site export; not needed for the aggregate charts planned.</w:t>
            </w:r>
          </w:p>
        </w:tc>
      </w:tr>
      <w:tr>
        <w:tc>
          <w:tcPr>
            <w:tcW w:type="dxa" w:w="1500"/>
            <w:tcMar>
              <w:top w:type="dxa" w:w="80"/>
              <w:left w:type="dxa" w:w="120"/>
              <w:bottom w:type="dxa" w:w="80"/>
              <w:right w:type="dxa" w:w="120"/>
            </w:tcMar>
          </w:tcPr>
          <w:p>
            <w:r>
              <w:rPr>
                <w:b w:val="false"/>
                <w:bCs w:val="false"/>
                <w:sz w:val="20"/>
                <w:szCs w:val="20"/>
              </w:rPr>
              <w:t xml:space="preserve">Media — excluded</w:t>
            </w:r>
          </w:p>
        </w:tc>
        <w:tc>
          <w:tcPr>
            <w:tcW w:type="dxa" w:w="5520"/>
            <w:tcMar>
              <w:top w:type="dxa" w:w="80"/>
              <w:left w:type="dxa" w:w="120"/>
              <w:bottom w:type="dxa" w:w="80"/>
              <w:right w:type="dxa" w:w="120"/>
            </w:tcMar>
          </w:tcPr>
          <w:p>
            <w:r>
              <w:rPr>
                <w:b w:val="false"/>
                <w:bCs w:val="false"/>
                <w:sz w:val="20"/>
                <w:szCs w:val="20"/>
              </w:rPr>
              <w:t xml:space="preserve">Y/blank flag for whether the report includes photo/video. Not used in the site export.</w:t>
            </w:r>
          </w:p>
        </w:tc>
      </w:tr>
      <w:tr>
        <w:tc>
          <w:tcPr>
            <w:tcW w:type="dxa" w:w="1500"/>
            <w:tcMar>
              <w:top w:type="dxa" w:w="80"/>
              <w:left w:type="dxa" w:w="120"/>
              <w:bottom w:type="dxa" w:w="80"/>
              <w:right w:type="dxa" w:w="120"/>
            </w:tcMar>
          </w:tcPr>
          <w:p>
            <w:r>
              <w:rPr>
                <w:b w:val="false"/>
                <w:bCs w:val="false"/>
                <w:sz w:val="20"/>
                <w:szCs w:val="20"/>
              </w:rPr>
              <w:t xml:space="preserve">Link — excluded</w:t>
            </w:r>
          </w:p>
        </w:tc>
        <w:tc>
          <w:tcPr>
            <w:tcW w:type="dxa" w:w="5520"/>
            <w:tcMar>
              <w:top w:type="dxa" w:w="80"/>
              <w:left w:type="dxa" w:w="120"/>
              <w:bottom w:type="dxa" w:w="80"/>
              <w:right w:type="dxa" w:w="120"/>
            </w:tcMar>
          </w:tcPr>
          <w:p>
            <w:r>
              <w:rPr>
                <w:b w:val="false"/>
                <w:bCs w:val="false"/>
                <w:sz w:val="20"/>
                <w:szCs w:val="20"/>
              </w:rPr>
              <w:t xml:space="preserve">Report status text (e.g. “Open”, “Open !”) — not a URL despite the column name. Not used in the site export.</w:t>
            </w:r>
          </w:p>
        </w:tc>
      </w:tr>
    </w:tbl>
    <w:p>
      <w:pPr>
        <w:spacing w:after="160"/>
      </w:pPr>
    </w:p>
    <w:p>
      <w:pPr>
        <w:pStyle w:val="Heading1"/>
        <w:spacing w:after="160" w:before="320"/>
      </w:pPr>
      <w:r>
        <w:t xml:space="preserve">Target dashboards (from the existing Tableau Public portfolio)</w:t>
      </w:r>
    </w:p>
    <w:p>
      <w:pPr>
        <w:spacing w:after="160"/>
      </w:pPr>
      <w:r>
        <w:t xml:space="preserve">Josh's existing Tableau Public workbook — “UFO Sightings”, https://public.tableau.com/app/profile/josh.alton/viz/PortfolioBook/SightingsOverTime — is the recreation target for the site's dashboard page. It was reviewed sheet-by-sheet on September 2, 2026 (via Claude in Chrome — the sandboxed browser pane could not render Tableau's canvas-based viz, real Chrome could). It has 5 sheets:</w:t>
      </w:r>
    </w:p>
    <w:tbl>
      <w:tblPr>
        <w:tblW w:type="dxa" w:w="7020"/>
        <w:tblBorders>
          <w:top w:val="single" w:color="auto" w:sz="4"/>
          <w:left w:val="single" w:color="auto" w:sz="4"/>
          <w:bottom w:val="single" w:color="auto" w:sz="4"/>
          <w:right w:val="single" w:color="auto" w:sz="4"/>
          <w:insideH w:val="single" w:color="auto" w:sz="4"/>
          <w:insideV w:val="single" w:color="auto" w:sz="4"/>
        </w:tblBorders>
      </w:tblPr>
      <w:tblGrid>
        <w:gridCol w:w="1650"/>
        <w:gridCol w:w="2900"/>
        <w:gridCol w:w="2470"/>
      </w:tblGrid>
      <w:tr>
        <w:trPr>
          <w:tblHeader/>
        </w:trPr>
        <w:tc>
          <w:tcPr>
            <w:tcW w:type="dxa" w:w="1650"/>
            <w:shd w:fill="2F5496" w:color="auto" w:val="clear"/>
            <w:tcMar>
              <w:top w:type="dxa" w:w="80"/>
              <w:left w:type="dxa" w:w="120"/>
              <w:bottom w:type="dxa" w:w="80"/>
              <w:right w:type="dxa" w:w="120"/>
            </w:tcMar>
          </w:tcPr>
          <w:p>
            <w:r>
              <w:rPr>
                <w:b/>
                <w:bCs/>
                <w:color w:val="FFFFFF"/>
                <w:sz w:val="20"/>
                <w:szCs w:val="20"/>
              </w:rPr>
              <w:t xml:space="preserve">Sheet</w:t>
            </w:r>
          </w:p>
        </w:tc>
        <w:tc>
          <w:tcPr>
            <w:tcW w:type="dxa" w:w="2900"/>
            <w:shd w:fill="2F5496" w:color="auto" w:val="clear"/>
            <w:tcMar>
              <w:top w:type="dxa" w:w="80"/>
              <w:left w:type="dxa" w:w="120"/>
              <w:bottom w:type="dxa" w:w="80"/>
              <w:right w:type="dxa" w:w="120"/>
            </w:tcMar>
          </w:tcPr>
          <w:p>
            <w:r>
              <w:rPr>
                <w:b/>
                <w:bCs/>
                <w:color w:val="FFFFFF"/>
                <w:sz w:val="20"/>
                <w:szCs w:val="20"/>
              </w:rPr>
              <w:t xml:space="preserve">What it shows</w:t>
            </w:r>
          </w:p>
        </w:tc>
        <w:tc>
          <w:tcPr>
            <w:tcW w:type="dxa" w:w="2470"/>
            <w:shd w:fill="2F5496" w:color="auto" w:val="clear"/>
            <w:tcMar>
              <w:top w:type="dxa" w:w="80"/>
              <w:left w:type="dxa" w:w="120"/>
              <w:bottom w:type="dxa" w:w="80"/>
              <w:right w:type="dxa" w:w="120"/>
            </w:tcMar>
          </w:tcPr>
          <w:p>
            <w:r>
              <w:rPr>
                <w:b/>
                <w:bCs/>
                <w:color w:val="FFFFFF"/>
                <w:sz w:val="20"/>
                <w:szCs w:val="20"/>
              </w:rPr>
              <w:t xml:space="preserve">Status</w:t>
            </w:r>
          </w:p>
        </w:tc>
      </w:tr>
      <w:tr>
        <w:tc>
          <w:tcPr>
            <w:tcW w:type="dxa" w:w="1650"/>
            <w:tcMar>
              <w:top w:type="dxa" w:w="80"/>
              <w:left w:type="dxa" w:w="120"/>
              <w:bottom w:type="dxa" w:w="80"/>
              <w:right w:type="dxa" w:w="120"/>
            </w:tcMar>
          </w:tcPr>
          <w:p>
            <w:r>
              <w:rPr>
                <w:b w:val="false"/>
                <w:bCs w:val="false"/>
                <w:sz w:val="20"/>
                <w:szCs w:val="20"/>
              </w:rPr>
              <w:t xml:space="preserve">Sightings by Day</w:t>
            </w:r>
          </w:p>
        </w:tc>
        <w:tc>
          <w:tcPr>
            <w:tcW w:type="dxa" w:w="2900"/>
            <w:tcMar>
              <w:top w:type="dxa" w:w="80"/>
              <w:left w:type="dxa" w:w="120"/>
              <w:bottom w:type="dxa" w:w="80"/>
              <w:right w:type="dxa" w:w="120"/>
            </w:tcMar>
          </w:tcPr>
          <w:p>
            <w:r>
              <w:rPr>
                <w:b w:val="false"/>
                <w:bCs w:val="false"/>
                <w:sz w:val="20"/>
                <w:szCs w:val="20"/>
              </w:rPr>
              <w:t xml:space="preserve">Sightings by calendar day-of-year, 1960–2021. July 4th is a large outlier (~2,032, nearly double the runner-up).</w:t>
            </w:r>
          </w:p>
        </w:tc>
        <w:tc>
          <w:tcPr>
            <w:tcW w:type="dxa" w:w="2470"/>
            <w:tcMar>
              <w:top w:type="dxa" w:w="80"/>
              <w:left w:type="dxa" w:w="120"/>
              <w:bottom w:type="dxa" w:w="80"/>
              <w:right w:type="dxa" w:w="120"/>
            </w:tcMar>
          </w:tcPr>
          <w:p>
            <w:r>
              <w:rPr>
                <w:b w:val="false"/>
                <w:bCs w:val="false"/>
                <w:sz w:val="20"/>
                <w:szCs w:val="20"/>
              </w:rPr>
              <w:t xml:space="preserve">Done — live on the site.</w:t>
            </w:r>
          </w:p>
        </w:tc>
      </w:tr>
      <w:tr>
        <w:tc>
          <w:tcPr>
            <w:tcW w:type="dxa" w:w="1650"/>
            <w:tcMar>
              <w:top w:type="dxa" w:w="80"/>
              <w:left w:type="dxa" w:w="120"/>
              <w:bottom w:type="dxa" w:w="80"/>
              <w:right w:type="dxa" w:w="120"/>
            </w:tcMar>
          </w:tcPr>
          <w:p>
            <w:r>
              <w:rPr>
                <w:b w:val="false"/>
                <w:bCs w:val="false"/>
                <w:sz w:val="20"/>
                <w:szCs w:val="20"/>
              </w:rPr>
              <w:t xml:space="preserve">Sightings Over Time</w:t>
            </w:r>
          </w:p>
        </w:tc>
        <w:tc>
          <w:tcPr>
            <w:tcW w:type="dxa" w:w="2900"/>
            <w:tcMar>
              <w:top w:type="dxa" w:w="80"/>
              <w:left w:type="dxa" w:w="120"/>
              <w:bottom w:type="dxa" w:w="80"/>
              <w:right w:type="dxa" w:w="120"/>
            </w:tcMar>
          </w:tcPr>
          <w:p>
            <w:r>
              <w:rPr>
                <w:b w:val="false"/>
                <w:bCs w:val="false"/>
                <w:sz w:val="20"/>
                <w:szCs w:val="20"/>
              </w:rPr>
              <w:t xml:space="preserve">Yearly sightings per million people, 1973–2021, annotated with pop-culture correlations (movie releases) and NUFORC's 1994 move to online reporting.</w:t>
            </w:r>
          </w:p>
        </w:tc>
        <w:tc>
          <w:tcPr>
            <w:tcW w:type="dxa" w:w="2470"/>
            <w:tcMar>
              <w:top w:type="dxa" w:w="80"/>
              <w:left w:type="dxa" w:w="120"/>
              <w:bottom w:type="dxa" w:w="80"/>
              <w:right w:type="dxa" w:w="120"/>
            </w:tcMar>
          </w:tcPr>
          <w:p>
            <w:r>
              <w:rPr>
                <w:b w:val="false"/>
                <w:bCs w:val="false"/>
                <w:sz w:val="20"/>
                <w:szCs w:val="20"/>
              </w:rPr>
              <w:t xml:space="preserve">Done — a Raw counts / Per million people toggle button pair on the chart (client-side division against population_national.json, no server-side join), confirmed working in Josh's own browser September 3, 2026. Pop-culture/1994 annotations from the original Tableau sheet not built, and not requested.</w:t>
            </w:r>
          </w:p>
        </w:tc>
      </w:tr>
      <w:tr>
        <w:tc>
          <w:tcPr>
            <w:tcW w:type="dxa" w:w="1650"/>
            <w:tcMar>
              <w:top w:type="dxa" w:w="80"/>
              <w:left w:type="dxa" w:w="120"/>
              <w:bottom w:type="dxa" w:w="80"/>
              <w:right w:type="dxa" w:w="120"/>
            </w:tcMar>
          </w:tcPr>
          <w:p>
            <w:r>
              <w:rPr>
                <w:b w:val="false"/>
                <w:bCs w:val="false"/>
                <w:sz w:val="20"/>
                <w:szCs w:val="20"/>
              </w:rPr>
              <w:t xml:space="preserve">Sightings vs. Space Launches</w:t>
            </w:r>
          </w:p>
        </w:tc>
        <w:tc>
          <w:tcPr>
            <w:tcW w:type="dxa" w:w="2900"/>
            <w:tcMar>
              <w:top w:type="dxa" w:w="80"/>
              <w:left w:type="dxa" w:w="120"/>
              <w:bottom w:type="dxa" w:w="80"/>
              <w:right w:type="dxa" w:w="120"/>
            </w:tcMar>
          </w:tcPr>
          <w:p>
            <w:r>
              <w:rPr>
                <w:b w:val="false"/>
                <w:bCs w:val="false"/>
                <w:sz w:val="20"/>
                <w:szCs w:val="20"/>
              </w:rPr>
              <w:t xml:space="preserve">Dual-axis: sightings-per-million (Shape = Light only) as bars, space launch count as a line, 2017–2021.</w:t>
            </w:r>
          </w:p>
        </w:tc>
        <w:tc>
          <w:tcPr>
            <w:tcW w:type="dxa" w:w="2470"/>
            <w:tcMar>
              <w:top w:type="dxa" w:w="80"/>
              <w:left w:type="dxa" w:w="120"/>
              <w:bottom w:type="dxa" w:w="80"/>
              <w:right w:type="dxa" w:w="120"/>
            </w:tcMar>
          </w:tcPr>
          <w:p>
            <w:r>
              <w:rPr>
                <w:b w:val="false"/>
                <w:bCs w:val="false"/>
                <w:sz w:val="20"/>
                <w:szCs w:val="20"/>
              </w:rPr>
              <w:t xml:space="preserve">Needs a space-launches-per-year data source — not in Postgres yet.</w:t>
            </w:r>
          </w:p>
        </w:tc>
      </w:tr>
      <w:tr>
        <w:tc>
          <w:tcPr>
            <w:tcW w:type="dxa" w:w="1650"/>
            <w:tcMar>
              <w:top w:type="dxa" w:w="80"/>
              <w:left w:type="dxa" w:w="120"/>
              <w:bottom w:type="dxa" w:w="80"/>
              <w:right w:type="dxa" w:w="120"/>
            </w:tcMar>
          </w:tcPr>
          <w:p>
            <w:r>
              <w:rPr>
                <w:b w:val="false"/>
                <w:bCs w:val="false"/>
                <w:sz w:val="20"/>
                <w:szCs w:val="20"/>
              </w:rPr>
              <w:t xml:space="preserve">Geographic Slice Map</w:t>
            </w:r>
          </w:p>
        </w:tc>
        <w:tc>
          <w:tcPr>
            <w:tcW w:type="dxa" w:w="2900"/>
            <w:tcMar>
              <w:top w:type="dxa" w:w="80"/>
              <w:left w:type="dxa" w:w="120"/>
              <w:bottom w:type="dxa" w:w="80"/>
              <w:right w:type="dxa" w:w="120"/>
            </w:tcMar>
          </w:tcPr>
          <w:p>
            <w:r>
              <w:rPr>
                <w:b w:val="false"/>
                <w:bCs w:val="false"/>
                <w:sz w:val="20"/>
                <w:szCs w:val="20"/>
              </w:rPr>
              <w:t xml:space="preserve">US state choropleth, sightings per 100K population, one year at a time (2020 shown).</w:t>
            </w:r>
          </w:p>
        </w:tc>
        <w:tc>
          <w:tcPr>
            <w:tcW w:type="dxa" w:w="2470"/>
            <w:tcMar>
              <w:top w:type="dxa" w:w="80"/>
              <w:left w:type="dxa" w:w="120"/>
              <w:bottom w:type="dxa" w:w="80"/>
              <w:right w:type="dxa" w:w="120"/>
            </w:tcMar>
          </w:tcPr>
          <w:p>
            <w:r>
              <w:rPr>
                <w:b w:val="false"/>
                <w:bCs w:val="false"/>
                <w:sz w:val="20"/>
                <w:szCs w:val="20"/>
              </w:rPr>
              <w:t xml:space="preserve">Done — a Plotly USA-states choropleth with a year dropdown, sequential blue fill, confirmed rendering correctly in Josh's own browser September 3, 2026. A follow-up round of changes (direct value labels, a Total sightings/Per capita toggle, an All-years dropdown option, colorbar removed) was delivered the same day and is awaiting browser confirmation — see Decisions log.</w:t>
            </w:r>
          </w:p>
        </w:tc>
      </w:tr>
      <w:tr>
        <w:tc>
          <w:tcPr>
            <w:tcW w:type="dxa" w:w="1650"/>
            <w:tcMar>
              <w:top w:type="dxa" w:w="80"/>
              <w:left w:type="dxa" w:w="120"/>
              <w:bottom w:type="dxa" w:w="80"/>
              <w:right w:type="dxa" w:w="120"/>
            </w:tcMar>
          </w:tcPr>
          <w:p>
            <w:r>
              <w:rPr>
                <w:b w:val="false"/>
                <w:bCs w:val="false"/>
                <w:sz w:val="20"/>
                <w:szCs w:val="20"/>
              </w:rPr>
              <w:t xml:space="preserve">Hex Map</w:t>
            </w:r>
          </w:p>
        </w:tc>
        <w:tc>
          <w:tcPr>
            <w:tcW w:type="dxa" w:w="2900"/>
            <w:tcMar>
              <w:top w:type="dxa" w:w="80"/>
              <w:left w:type="dxa" w:w="120"/>
              <w:bottom w:type="dxa" w:w="80"/>
              <w:right w:type="dxa" w:w="120"/>
            </w:tcMar>
          </w:tcPr>
          <w:p>
            <w:r>
              <w:rPr>
                <w:b w:val="false"/>
                <w:bCs w:val="false"/>
                <w:sz w:val="20"/>
                <w:szCs w:val="20"/>
              </w:rPr>
              <w:t xml:space="preserve">US state hex cartogram, sightings per 100K, with two working dropdown slicers (“Select Measure”, “Decade/Census Year”) — the clearest existing precedent for the Plotly updatemenus interactivity plan.</w:t>
            </w:r>
          </w:p>
        </w:tc>
        <w:tc>
          <w:tcPr>
            <w:tcW w:type="dxa" w:w="2470"/>
            <w:tcMar>
              <w:top w:type="dxa" w:w="80"/>
              <w:left w:type="dxa" w:w="120"/>
              <w:bottom w:type="dxa" w:w="80"/>
              <w:right w:type="dxa" w:w="120"/>
            </w:tcMar>
          </w:tcPr>
          <w:p>
            <w:r>
              <w:rPr>
                <w:b w:val="false"/>
                <w:bCs w:val="false"/>
                <w:sz w:val="20"/>
                <w:szCs w:val="20"/>
              </w:rPr>
              <w:t xml:space="preserve">Deferred until the Geographic Slice Map is confirmed working — Josh's call (see Decisions log). Plotly has no built-in hex cartogram, so this needs a hardcoded hex-grid layout and custom hexagon shapes, a meaningfully bigger build than the choropleth.</w:t>
            </w:r>
          </w:p>
        </w:tc>
      </w:tr>
    </w:tbl>
    <w:p>
      <w:pPr>
        <w:spacing w:after="160"/>
      </w:pPr>
    </w:p>
    <w:p>
      <w:pPr>
        <w:spacing w:after="160"/>
      </w:pPr>
      <w:r>
        <w:t xml:space="preserve">The workbook's profile description notes it also draws on US Census/Federal Reserve (FRED) population data and UN space-launch data — neither of which is in Postgres today. See Open items below.</w:t>
      </w:r>
    </w:p>
    <w:p>
      <w:pPr>
        <w:pStyle w:val="Heading1"/>
        <w:spacing w:after="160" w:before="320"/>
      </w:pPr>
      <w:r>
        <w:t xml:space="preserve">Site architecture</w:t>
      </w:r>
    </w:p>
    <w:p>
      <w:pPr>
        <w:spacing w:after="160"/>
      </w:pPr>
      <w:r>
        <w:t xml:space="preserve">Static, precomputed site: the public site never connects to the live Postgres database, so no database credentials are exposed and no backend server needs to be run or maintained. All aggregation happens ahead of time; the browser only ever reads plain files.</w:t>
      </w:r>
    </w:p>
    <w:p>
      <w:pPr>
        <w:pStyle w:val="Heading2"/>
        <w:spacing w:after="120" w:before="240"/>
      </w:pPr>
      <w:r>
        <w:t xml:space="preserve">1. Export step — phased</w:t>
      </w:r>
    </w:p>
    <w:p>
      <w:pPr>
        <w:spacing w:after="160"/>
      </w:pPr>
      <w:r>
        <w:t xml:space="preserve">A Python script (reusing the existing database connection pattern from scrape_nuforc.py) queries Postgres and writes small precomputed JSON files. Given the data gaps above, this happens in two phases:</w:t>
      </w:r>
    </w:p>
    <w:p>
      <w:pPr>
        <w:pStyle w:val="ListParagraph"/>
        <w:numPr>
          <w:ilvl w:val="0"/>
          <w:numId w:val="2"/>
        </w:numPr>
        <w:spacing w:after="80"/>
      </w:pPr>
      <w:r>
        <w:t xml:space="preserve">Phase 1 (starting now): everything buildable from nuforc_ufo_data alone — day-of-year counts (Sightings by Day) and yearly raw counts (Sightings Over Time, without per-million normalization).</w:t>
      </w:r>
    </w:p>
    <w:p>
      <w:pPr>
        <w:pStyle w:val="ListParagraph"/>
        <w:numPr>
          <w:ilvl w:val="0"/>
          <w:numId w:val="2"/>
        </w:numPr>
        <w:spacing w:after="80"/>
      </w:pPr>
      <w:r>
        <w:t xml:space="preserve">Phase 2 (later, once population and space-launch data are sourced and loaded — see Open items): per-million/per-100K normalized versions, the state maps, and the space-launches comparison.</w:t>
      </w:r>
    </w:p>
    <w:p>
      <w:pPr>
        <w:spacing w:after="160"/>
      </w:pPr>
      <w:r>
        <w:t xml:space="preserve">Full free-text Summary values are never shipped to the site in either phase — only aggregated counts, keeping the files small and fast to load. Re-run whenever the underlying scrape is refreshed.</w:t>
      </w:r>
    </w:p>
    <w:p>
      <w:pPr>
        <w:pStyle w:val="Heading2"/>
        <w:spacing w:after="120" w:before="240"/>
      </w:pPr>
      <w:r>
        <w:t xml:space="preserve">2. Frontend</w:t>
      </w:r>
    </w:p>
    <w:p>
      <w:pPr>
        <w:spacing w:after="160"/>
      </w:pPr>
      <w:r>
        <w:t xml:space="preserve">A single HTML/CSS/JavaScript site (no build tooling required) that loads the exported JSON files and renders charts with Plotly.js, loaded from a CDN. Chart types map directly to the target dashboards above: a day-of-year spike chart, a yearly bar chart, a US choropleth/hex map, and a dual-axis bar+line chart.</w:t>
      </w:r>
    </w:p>
    <w:p>
      <w:pPr>
        <w:pStyle w:val="Heading2"/>
        <w:spacing w:after="120" w:before="240"/>
      </w:pPr>
      <w:r>
        <w:t xml:space="preserve">3. Interactivity (“slicers”)</w:t>
      </w:r>
    </w:p>
    <w:p>
      <w:pPr>
        <w:spacing w:after="160"/>
      </w:pPr>
      <w:r>
        <w:t xml:space="preserve">Tableau-style filtering (state, shape, year, and — mirroring the Hex Map sheet — a measure/decade dropdown) is implemented with Plotly.js's built-in controls rather than a hand-written filtering engine:</w:t>
      </w:r>
    </w:p>
    <w:p>
      <w:pPr>
        <w:pStyle w:val="ListParagraph"/>
        <w:numPr>
          <w:ilvl w:val="0"/>
          <w:numId w:val="2"/>
        </w:numPr>
        <w:spacing w:after="80"/>
      </w:pPr>
      <w:r>
        <w:t xml:space="preserve">layout.updatemenus — dropdown/button controls that swap what's displayed.</w:t>
      </w:r>
    </w:p>
    <w:p>
      <w:pPr>
        <w:pStyle w:val="ListParagraph"/>
        <w:numPr>
          <w:ilvl w:val="0"/>
          <w:numId w:val="2"/>
        </w:numPr>
        <w:spacing w:after="80"/>
      </w:pPr>
      <w:r>
        <w:t xml:space="preserve">A year-range filter — see below; built differently than originally planned here.</w:t>
      </w:r>
    </w:p>
    <w:p>
      <w:pPr>
        <w:spacing w:after="160"/>
      </w:pPr>
      <w:r>
        <w:t xml:space="preserve">Because the exported data is aggregated (grouped counts, not raw rows), it loads into the browser once and all filtering happens client-side — no server round-trip per interaction.</w:t>
      </w:r>
    </w:p>
    <w:p>
      <w:pPr>
        <w:spacing w:after="160"/>
      </w:pPr>
      <w:r>
        <w:t xml:space="preserve">Year-range filter — done, live on the Sightings by Year chart (see Decisions log, September 3, 2026). The original plan called for Plotly's own layout.sliders control, but that renders as an unlabeled mini-chart strip with no visible start/end values — not the labeled dual-handle look Josh wanted, matching his existing Tableau dashboards. Built instead with noUiSlider (a small third-party slider library, CDN-loaded like Plotly) driving Plotly.relayout, plus two editable year textboxes above it.</w:t>
      </w:r>
    </w:p>
    <w:p>
      <w:pPr>
        <w:spacing w:after="160"/>
      </w:pPr>
      <w:r>
        <w:t xml:space="preserve">State/shape dropdown filtering remains deferred until Phase 2 adds those dimensions to the data — the day-of-year chart still has nothing else worth slicing by.</w:t>
      </w:r>
    </w:p>
    <w:p>
      <w:pPr>
        <w:spacing w:after="160"/>
      </w:pPr>
      <w:r>
        <w:rPr>
          <w:i/>
          <w:iCs/>
        </w:rPr>
        <w:t xml:space="preserve">Phase two (optional, separate from the data-phasing above): </w:t>
      </w:r>
      <w:r>
        <w:rPr>
          <w:i/>
          <w:iCs/>
        </w:rPr>
        <w:t xml:space="preserve">if true coordinated multi-chart filtering is wanted later (clicking a bar in one chart filters the others simultaneously), crossfilter.js + dc.js is the purpose-built pair for that pattern — a bigger step to learn, deferred until the core site is working.</w:t>
      </w:r>
    </w:p>
    <w:p>
      <w:pPr>
        <w:pStyle w:val="Heading2"/>
        <w:spacing w:after="120" w:before="240"/>
      </w:pPr>
      <w:r>
        <w:t xml:space="preserve">4. Case-study page</w:t>
      </w:r>
    </w:p>
    <w:p>
      <w:pPr>
        <w:spacing w:after="160"/>
      </w:pPr>
      <w:r>
        <w:t xml:space="preserve">A written page drawing on the existing scrape_nuforc.py Overview &amp; Changelog and Code Review documents, covering the scraping and cleaning engineering story.</w:t>
      </w:r>
    </w:p>
    <w:p>
      <w:pPr>
        <w:pStyle w:val="Heading2"/>
        <w:spacing w:after="120" w:before="240"/>
      </w:pPr>
      <w:r>
        <w:t xml:space="preserve">5. Hosting: GitHub Pages</w:t>
      </w:r>
    </w:p>
    <w:p>
      <w:pPr>
        <w:spacing w:after="160"/>
      </w:pPr>
      <w:r>
        <w:t xml:space="preserve">Chosen over Vercel for this static, backend-free site. Free for public repositories, served directly from this repo.</w:t>
      </w:r>
    </w:p>
    <w:p>
      <w:pPr>
        <w:pStyle w:val="ListParagraph"/>
        <w:numPr>
          <w:ilvl w:val="0"/>
          <w:numId w:val="2"/>
        </w:numPr>
        <w:spacing w:after="80"/>
      </w:pPr>
      <w:r>
        <w:t xml:space="preserve">Soft limits: ~1 GB site size, ~100 GB bandwidth/month, 10-minute build timeout — far beyond what a personal portfolio site needs.</w:t>
      </w:r>
    </w:p>
    <w:p>
      <w:pPr>
        <w:pStyle w:val="ListParagraph"/>
        <w:numPr>
          <w:ilvl w:val="0"/>
          <w:numId w:val="2"/>
        </w:numPr>
        <w:spacing w:after="80"/>
      </w:pPr>
      <w:r>
        <w:t xml:space="preserve">Custom domain supported at no extra cost beyond buying the domain itself (~$10–$15/year), if wanted later; a github.io URL is free.</w:t>
      </w:r>
    </w:p>
    <w:p>
      <w:pPr>
        <w:pStyle w:val="ListParagraph"/>
        <w:numPr>
          <w:ilvl w:val="0"/>
          <w:numId w:val="2"/>
        </w:numPr>
        <w:spacing w:after="80"/>
      </w:pPr>
      <w:r>
        <w:t xml:space="preserve">Vercel remains a reasonable future option if the site grows a live-querying backend — not needed for the current plan.</w:t>
      </w:r>
    </w:p>
    <w:p>
      <w:pPr>
        <w:spacing w:after="160"/>
      </w:pPr>
      <w:r>
        <w:rPr>
          <w:b/>
          <w:bCs/>
        </w:rPr>
        <w:t xml:space="preserve">Live as of September 2, 2026: </w:t>
      </w:r>
      <w:r>
        <w:rPr>
          <w:i/>
          <w:iCs/>
        </w:rPr>
        <w:t xml:space="preserve">https://joshalton00.github.io/nuforc-ufo-sightings/</w:t>
      </w:r>
      <w:r>
        <w:t xml:space="preserve"> — repository: github.com/joshalton00/nuforc-ufo-sightings, served from the docs/ folder on main.</w:t>
      </w:r>
    </w:p>
    <w:p>
      <w:pPr>
        <w:pStyle w:val="Heading1"/>
        <w:spacing w:after="160" w:before="320"/>
      </w:pPr>
      <w:r>
        <w:t xml:space="preserve">Open items / loose ends</w:t>
      </w:r>
    </w:p>
    <w:p>
      <w:pPr>
        <w:spacing w:after="60" w:before="160"/>
      </w:pPr>
      <w:r>
        <w:rPr>
          <w:b/>
          <w:bCs/>
        </w:rPr>
        <w:t xml:space="preserve">Geographic Slice Map enhancements need browser confirmation</w:t>
      </w:r>
    </w:p>
    <w:p>
      <w:pPr>
        <w:spacing w:after="160"/>
      </w:pPr>
      <w:r>
        <w:t xml:space="preserve">The choropleth itself is confirmed working. A follow-up round of changes (direct value labels, a Total sightings/Per capita toggle, an All-years dropdown option, colorbar removed) has been delivered to script.js but not yet checked in Josh's browser — the same way every other chart change has been checked. See Build plan and Decisions log.</w:t>
      </w:r>
    </w:p>
    <w:p>
      <w:pPr>
        <w:spacing w:after="60" w:before="160"/>
      </w:pPr>
      <w:r>
        <w:rPr>
          <w:b/>
          <w:bCs/>
        </w:rPr>
        <w:t xml:space="preserve">Hex Map deferred until the choropleth enhancements are confirmed</w:t>
      </w:r>
    </w:p>
    <w:p>
      <w:pPr>
        <w:spacing w:after="160"/>
      </w:pPr>
      <w:r>
        <w:t xml:space="preserve">Plotly has no built-in hex cartogram — it needs a hardcoded hex-grid layout (which state sits where) and custom hexagon shapes built from scratch, a bigger and more novel build than the choropleth. Josh chose to sequence it after the Geographic Slice Map rather than build both at once. See Build plan.</w:t>
      </w:r>
    </w:p>
    <w:p>
      <w:pPr>
        <w:spacing w:after="60" w:before="160"/>
      </w:pPr>
      <w:r>
        <w:rPr>
          <w:b/>
          <w:bCs/>
        </w:rPr>
        <w:t xml:space="preserve">Space-launch data source needed (counts by year)</w:t>
      </w:r>
    </w:p>
    <w:p>
      <w:pPr>
        <w:spacing w:after="160"/>
      </w:pPr>
      <w:r>
        <w:t xml:space="preserve">The original workbook used UN data for this. Same situation — source files lost, needs re-sourcing before the Sightings vs. Space Launches sheet can be built. Deferred — not blocking Phase 1.</w:t>
      </w:r>
    </w:p>
    <w:p>
      <w:pPr>
        <w:spacing w:after="60" w:before="160"/>
      </w:pPr>
      <w:r>
        <w:rPr>
          <w:b/>
          <w:bCs/>
        </w:rPr>
        <w:t xml:space="preserve">Code cleanup pass across all scripts</w:t>
      </w:r>
    </w:p>
    <w:p>
      <w:pPr>
        <w:spacing w:after="160"/>
      </w:pPr>
      <w:r>
        <w:t xml:space="preserve">Once the functional build is further along, revisit scrape_nuforc.py, export_data.py, the population import/export scripts, and the site's JS/CSS as a set — readability, structure, and efficiency, not new functionality. Several were written in a hurry against real debugging deadlines (see Decisions log entries throughout September 2-3, 2026); worth a pass once the pace slows down.</w:t>
      </w:r>
    </w:p>
    <w:p>
      <w:pPr>
        <w:spacing w:after="60" w:before="160"/>
      </w:pPr>
      <w:r>
        <w:rPr>
          <w:b/>
          <w:bCs/>
        </w:rPr>
        <w:t xml:space="preserve">Dedup/incremental scrape writes</w:t>
      </w:r>
    </w:p>
    <w:p>
      <w:pPr>
        <w:spacing w:after="160"/>
      </w:pPr>
      <w:r>
        <w:t xml:space="preserve">scrape_nuforc.py currently replaces the full table on every run rather than appending/deduplicating new reports. Not required for the website itself, but worth revisiting at some point for data integrity as the scrape is re-run over time.</w:t>
      </w:r>
    </w:p>
    <w:p>
      <w:pPr>
        <w:pStyle w:val="Heading1"/>
        <w:spacing w:after="160" w:before="320"/>
      </w:pPr>
      <w:r>
        <w:t xml:space="preserve">Build plan</w:t>
      </w:r>
    </w:p>
    <w:p>
      <w:pPr>
        <w:pStyle w:val="ListParagraph"/>
        <w:numPr>
          <w:ilvl w:val="0"/>
          <w:numId w:val="3"/>
        </w:numPr>
        <w:spacing w:after="80"/>
      </w:pPr>
      <w:r>
        <w:t xml:space="preserve">Done — Phase 1 export script (export_data.py): day-of-year counts and yearly raw counts from nuforc_ufo_data. Run successfully against the live database September 2, 2026.</w:t>
      </w:r>
    </w:p>
    <w:p>
      <w:pPr>
        <w:pStyle w:val="ListParagraph"/>
        <w:numPr>
          <w:ilvl w:val="0"/>
          <w:numId w:val="3"/>
        </w:numPr>
        <w:spacing w:after="80"/>
      </w:pPr>
      <w:r>
        <w:t xml:space="preserve">Done — Static site scaffold (site/index.html, style.css, script.js; Plotly.js via CDN).</w:t>
      </w:r>
    </w:p>
    <w:p>
      <w:pPr>
        <w:pStyle w:val="ListParagraph"/>
        <w:numPr>
          <w:ilvl w:val="0"/>
          <w:numId w:val="3"/>
        </w:numPr>
        <w:spacing w:after="80"/>
      </w:pPr>
      <w:r>
        <w:t xml:space="preserve">Done — Phase 1 charts (Sightings by Day, Sightings Over Time — raw count) built against the exported JSON, and confirmed rendering correctly in Josh's own browser September 2, 2026. One bug found and fixed in that pass — see Decisions log.</w:t>
      </w:r>
    </w:p>
    <w:p>
      <w:pPr>
        <w:pStyle w:val="ListParagraph"/>
        <w:numPr>
          <w:ilvl w:val="0"/>
          <w:numId w:val="3"/>
        </w:numPr>
        <w:spacing w:after="80"/>
      </w:pPr>
      <w:r>
        <w:t xml:space="preserve">Done — Case-study page (docs/pipeline.html) drafted from the existing changelog/code-review docs and confirmed by Josh.</w:t>
      </w:r>
    </w:p>
    <w:p>
      <w:pPr>
        <w:pStyle w:val="ListParagraph"/>
        <w:numPr>
          <w:ilvl w:val="0"/>
          <w:numId w:val="3"/>
        </w:numPr>
        <w:spacing w:after="80"/>
      </w:pPr>
      <w:r>
        <w:t xml:space="preserve">Done — Deployed to GitHub Pages: github.com/joshalton00/nuforc-ufo-sightings, live at https://joshalton00.github.io/nuforc-ufo-sightings/.</w:t>
      </w:r>
    </w:p>
    <w:p>
      <w:pPr>
        <w:pStyle w:val="ListParagraph"/>
        <w:numPr>
          <w:ilvl w:val="0"/>
          <w:numId w:val="3"/>
        </w:numPr>
        <w:spacing w:after="80"/>
      </w:pPr>
      <w:r>
        <w:t xml:space="preserve">Done — Chart polish and a Tableau-style year-range filter on Sightings by Year (see Decisions log, September 3, 2026).</w:t>
      </w:r>
    </w:p>
    <w:p>
      <w:pPr>
        <w:pStyle w:val="ListParagraph"/>
        <w:numPr>
          <w:ilvl w:val="0"/>
          <w:numId w:val="3"/>
        </w:numPr>
        <w:spacing w:after="80"/>
      </w:pPr>
      <w:r>
        <w:t xml:space="preserve">Done — National population-by-year data sourced, debugged, and loaded: us_population_by_year now holds a clean 1900–2026 series (127 rows), run successfully against the live database September 3, 2026 (see Decisions log).</w:t>
      </w:r>
    </w:p>
    <w:p>
      <w:pPr>
        <w:pStyle w:val="ListParagraph"/>
        <w:numPr>
          <w:ilvl w:val="0"/>
          <w:numId w:val="3"/>
        </w:numPr>
        <w:spacing w:after="80"/>
      </w:pPr>
      <w:r>
        <w:t xml:space="preserve">Done — State-level population data (2000–2025) sourced, parsed, and verified against the real downloaded Census files; loaded into us_state_population_by_year by Josh.</w:t>
      </w:r>
    </w:p>
    <w:p>
      <w:pPr>
        <w:pStyle w:val="ListParagraph"/>
        <w:numPr>
          <w:ilvl w:val="0"/>
          <w:numId w:val="3"/>
        </w:numPr>
        <w:spacing w:after="80"/>
      </w:pPr>
      <w:r>
        <w:t xml:space="preserve">Done — export_national_population.py and export_state_population.py: two new, independent export scripts (deliberately separate from export_data.py and from each other, so each population table can be updated on its own schedule) writing population_national.json and population_state.json. No server-side join — see Decisions log, September 3, 2026.</w:t>
      </w:r>
    </w:p>
    <w:p>
      <w:pPr>
        <w:pStyle w:val="ListParagraph"/>
        <w:numPr>
          <w:ilvl w:val="0"/>
          <w:numId w:val="3"/>
        </w:numPr>
        <w:spacing w:after="80"/>
      </w:pPr>
      <w:r>
        <w:t xml:space="preserve">Done — Sightings Over Time per-million toggle: a Raw counts / Per million people button pair on the yearly chart, dividing sightings by population_national.json client-side. Confirmed working in Josh's own browser September 3, 2026 (see Decisions log).</w:t>
      </w:r>
    </w:p>
    <w:p>
      <w:pPr>
        <w:pStyle w:val="ListParagraph"/>
        <w:numPr>
          <w:ilvl w:val="0"/>
          <w:numId w:val="3"/>
        </w:numPr>
        <w:spacing w:after="80"/>
      </w:pPr>
      <w:r>
        <w:t xml:space="preserve">Done — Geographic Slice Map: export_sightings_by_state.py (State column normalized against US postal codes/full names, non-US regions dropped and reported) and a Plotly USA-states choropleth with a year dropdown, confirmed rendering correctly in Josh's own browser September 3, 2026. See Decisions log.</w:t>
      </w:r>
    </w:p>
    <w:p>
      <w:pPr>
        <w:pStyle w:val="ListParagraph"/>
        <w:numPr>
          <w:ilvl w:val="0"/>
          <w:numId w:val="3"/>
        </w:numPr>
        <w:spacing w:after="80"/>
      </w:pPr>
      <w:r>
        <w:t xml:space="preserve">Done (pending Josh's browser confirmation) — Geographic Slice Map enhancements: direct value labels on states with room to fit them, a Total sightings/Per capita toggle, an All-years dropdown option, and the colorbar removed. See Decisions log.</w:t>
      </w:r>
    </w:p>
    <w:p>
      <w:pPr>
        <w:pStyle w:val="ListParagraph"/>
        <w:numPr>
          <w:ilvl w:val="0"/>
          <w:numId w:val="3"/>
        </w:numPr>
        <w:spacing w:after="80"/>
      </w:pPr>
      <w:r>
        <w:t xml:space="preserve">Next — Hex Map: deferred until the choropleth enhancements above are confirmed working (Josh's call). Will need a hardcoded hex-grid layout and custom hexagon shapes, since Plotly has no built-in support for this chart type.</w:t>
      </w:r>
    </w:p>
    <w:p>
      <w:pPr>
        <w:pStyle w:val="ListParagraph"/>
        <w:numPr>
          <w:ilvl w:val="0"/>
          <w:numId w:val="3"/>
        </w:numPr>
        <w:spacing w:after="80"/>
      </w:pPr>
      <w:r>
        <w:t xml:space="preserve">Phase 2 (later): source space-launch-by-year data, load into Postgres, extend the export step and site with the remaining comparison chart.</w:t>
      </w:r>
    </w:p>
    <w:p>
      <w:pPr>
        <w:pStyle w:val="Heading1"/>
        <w:spacing w:after="160" w:before="320"/>
      </w:pPr>
      <w:r>
        <w:t xml:space="preserve">Decisions log</w:t>
      </w:r>
    </w:p>
    <w:p>
      <w:pPr>
        <w:spacing w:after="60" w:before="160"/>
      </w:pPr>
      <w:r>
        <w:rPr>
          <w:b/>
          <w:bCs/>
        </w:rPr>
        <w:t xml:space="preserve">September 2, 2026 — </w:t>
      </w:r>
      <w:r>
        <w:rPr>
          <w:b/>
          <w:bCs/>
        </w:rPr>
        <w:t xml:space="preserve">Website over Tableau/Power BI for the portfolio piece</w:t>
      </w:r>
    </w:p>
    <w:p>
      <w:pPr>
        <w:spacing w:after="160"/>
      </w:pPr>
      <w:r>
        <w:t xml:space="preserve">A hand-built, deployed website was chosen over a Tableau/Power BI dashboard so the project also demonstrates web development and engineering skill, not just visualization — a more differentiated signal for a job search than BI-tool proficiency alone.</w:t>
      </w:r>
    </w:p>
    <w:p>
      <w:pPr>
        <w:spacing w:after="60" w:before="160"/>
      </w:pPr>
      <w:r>
        <w:rPr>
          <w:b/>
          <w:bCs/>
        </w:rPr>
        <w:t xml:space="preserve">September 2, 2026 — </w:t>
      </w:r>
      <w:r>
        <w:rPr>
          <w:b/>
          <w:bCs/>
        </w:rPr>
        <w:t xml:space="preserve">Target roles: Data Analyst and Data Engineer</w:t>
      </w:r>
    </w:p>
    <w:p>
      <w:pPr>
        <w:spacing w:after="160"/>
      </w:pPr>
      <w:r>
        <w:t xml:space="preserve">The site is framed around both roles: a pipeline/case-study page for the Engineer angle, and a dashboard page for the Analyst angle.</w:t>
      </w:r>
    </w:p>
    <w:p>
      <w:pPr>
        <w:spacing w:after="60" w:before="160"/>
      </w:pPr>
      <w:r>
        <w:rPr>
          <w:b/>
          <w:bCs/>
        </w:rPr>
        <w:t xml:space="preserve">September 2, 2026 — </w:t>
      </w:r>
      <w:r>
        <w:rPr>
          <w:b/>
          <w:bCs/>
        </w:rPr>
        <w:t xml:space="preserve">Static, precomputed site rather than a live-querying backend</w:t>
      </w:r>
    </w:p>
    <w:p>
      <w:pPr>
        <w:spacing w:after="160"/>
      </w:pPr>
      <w:r>
        <w:t xml:space="preserve">Chosen given no prior web development experience — fewer moving parts to learn and host, no need to expose database credentials or run a server, and it still supports fully interactive, client-side filtering.</w:t>
      </w:r>
    </w:p>
    <w:p>
      <w:pPr>
        <w:spacing w:after="60" w:before="160"/>
      </w:pPr>
      <w:r>
        <w:rPr>
          <w:b/>
          <w:bCs/>
        </w:rPr>
        <w:t xml:space="preserve">September 2, 2026 — </w:t>
      </w:r>
      <w:r>
        <w:rPr>
          <w:b/>
          <w:bCs/>
        </w:rPr>
        <w:t xml:space="preserve">Charting: Plotly.js</w:t>
      </w:r>
    </w:p>
    <w:p>
      <w:pPr>
        <w:spacing w:after="160"/>
      </w:pPr>
      <w:r>
        <w:t xml:space="preserve">Selected over Observable Plot / Chart.js / D3 for its built-in US choropleth support and its built-in updatemenus/sliders controls, which provide Tableau-style slicers through configuration rather than custom filtering code.</w:t>
      </w:r>
    </w:p>
    <w:p>
      <w:pPr>
        <w:spacing w:after="60" w:before="160"/>
      </w:pPr>
      <w:r>
        <w:rPr>
          <w:b/>
          <w:bCs/>
        </w:rPr>
        <w:t xml:space="preserve">September 2, 2026 — </w:t>
      </w:r>
      <w:r>
        <w:rPr>
          <w:b/>
          <w:bCs/>
        </w:rPr>
        <w:t xml:space="preserve">Hosting: GitHub Pages over Vercel</w:t>
      </w:r>
    </w:p>
    <w:p>
      <w:pPr>
        <w:spacing w:after="160"/>
      </w:pPr>
      <w:r>
        <w:t xml:space="preserve">Both are free for this use case; GitHub Pages was chosen as the simpler option since the site is fully static — one fewer service to learn and maintain, hosted directly from the existing repository. Vercel noted as a fallback if the project later adds a live backend.</w:t>
      </w:r>
    </w:p>
    <w:p>
      <w:pPr>
        <w:spacing w:after="60" w:before="160"/>
      </w:pPr>
      <w:r>
        <w:rPr>
          <w:b/>
          <w:bCs/>
        </w:rPr>
        <w:t xml:space="preserve">September 2, 2026 — </w:t>
      </w:r>
      <w:r>
        <w:rPr>
          <w:b/>
          <w:bCs/>
        </w:rPr>
        <w:t xml:space="preserve">Live schema corrected</w:t>
      </w:r>
    </w:p>
    <w:p>
      <w:pPr>
        <w:spacing w:after="160"/>
      </w:pPr>
      <w:r>
        <w:t xml:space="preserve">A fresh export from the live Postgres table showed the actual columns are Link, Occurred, City, State, Country, Shape, Summary, Reported, Media, Explanation — not the Occurred/City/State/Country/Shape/Summary/Reported/Posted set assumed from an older (now-deleted) cleaning notebook. Summary, Media, and Link are excluded from the site export; Explanation is kept.</w:t>
      </w:r>
    </w:p>
    <w:p>
      <w:pPr>
        <w:spacing w:after="60" w:before="160"/>
      </w:pPr>
      <w:r>
        <w:rPr>
          <w:b/>
          <w:bCs/>
        </w:rPr>
        <w:t xml:space="preserve">September 2, 2026 — </w:t>
      </w:r>
      <w:r>
        <w:rPr>
          <w:b/>
          <w:bCs/>
        </w:rPr>
        <w:t xml:space="preserve">Existing Tableau Public portfolio set as the recreation target</w:t>
      </w:r>
    </w:p>
    <w:p>
      <w:pPr>
        <w:spacing w:after="160"/>
      </w:pPr>
      <w:r>
        <w:t xml:space="preserve">Reviewed all 5 sheets of Josh's “UFO Sightings” workbook (public.tableau.com/app/profile/josh.alton/viz/PortfolioBook/SightingsOverTime) to guide which charts the site should recreate: Sightings by Day, Sightings Over Time, Sightings vs. Space Launches, Geographic Slice Map, and Hex Map. See “Target dashboards” above.</w:t>
      </w:r>
    </w:p>
    <w:p>
      <w:pPr>
        <w:spacing w:after="60" w:before="160"/>
      </w:pPr>
      <w:r>
        <w:rPr>
          <w:b/>
          <w:bCs/>
        </w:rPr>
        <w:t xml:space="preserve">September 2, 2026 — </w:t>
      </w:r>
      <w:r>
        <w:rPr>
          <w:b/>
          <w:bCs/>
        </w:rPr>
        <w:t xml:space="preserve">Phased build: start with what current data supports</w:t>
      </w:r>
    </w:p>
    <w:p>
      <w:pPr>
        <w:spacing w:after="160"/>
      </w:pPr>
      <w:r>
        <w:t xml:space="preserve">Rather than block on sourcing new population/space-launch data, Phase 1 builds only the two sheets buildable from nuforc_ufo_data alone (Sightings by Day, and a raw-count version of Sightings Over Time). Population and space-launch data sourcing is deferred to Phase 2 (see Open items) — Josh confirmed he wants to recreate those sheets eventually but is fine doing so later.</w:t>
      </w:r>
    </w:p>
    <w:p>
      <w:pPr>
        <w:spacing w:after="60" w:before="160"/>
      </w:pPr>
      <w:r>
        <w:rPr>
          <w:b/>
          <w:bCs/>
        </w:rPr>
        <w:t xml:space="preserve">September 2, 2026 — </w:t>
      </w:r>
      <w:r>
        <w:rPr>
          <w:b/>
          <w:bCs/>
        </w:rPr>
        <w:t xml:space="preserve">Phase 1 built and confirmed working</w:t>
      </w:r>
    </w:p>
    <w:p>
      <w:pPr>
        <w:spacing w:after="160"/>
      </w:pPr>
      <w:r>
        <w:t xml:space="preserve">export_data.py, the static site scaffold, and both Phase 1 charts (Sightings by Day, Sightings by Year) were built and are confirmed rendering correctly in Josh's own browser. One bug surfaced during that check: the day-of-year chart's peak-day annotation read “July 3” instead of “July 4” for anyone west of UTC. Cause: the date was constructed as UTC midnight but formatted for display using the browser's local timezone (JavaScript's toLocaleDateString converts to local time by default), rolling the date back a day. Fixed by pinning the formatter to timeZone: "UTC" as well, matching how the date was constructed. Verified against Josh's own timezone (America/Chicago) before shipping the fix.</w:t>
      </w:r>
    </w:p>
    <w:p>
      <w:pPr>
        <w:spacing w:after="60" w:before="160"/>
      </w:pPr>
      <w:r>
        <w:rPr>
          <w:b/>
          <w:bCs/>
        </w:rPr>
        <w:t xml:space="preserve">September 2, 2026 — </w:t>
      </w:r>
      <w:r>
        <w:rPr>
          <w:b/>
          <w:bCs/>
        </w:rPr>
        <w:t xml:space="preserve">Reordered the build plan: case-study page and deploy before slicers</w:t>
      </w:r>
    </w:p>
    <w:p>
      <w:pPr>
        <w:spacing w:after="160"/>
      </w:pPr>
      <w:r>
        <w:t xml:space="preserve">The original build plan put “wire up slicers” before the case-study page and deployment. In practice, Phase 1's two charts (day-of-year, yearly counts) have no second dimension worth slicing by — that only becomes meaningful once Phase 2 adds state/shape/year-range data. Reordered so the case-study page (which also fixes the currently-404ing “How this was built” nav link) and a live GitHub Pages deploy come next, giving the project a real shareable URL sooner; slicer work moves to align with Phase 2 instead of being built twice.</w:t>
      </w:r>
    </w:p>
    <w:p>
      <w:pPr>
        <w:spacing w:after="60" w:before="160"/>
      </w:pPr>
      <w:r>
        <w:rPr>
          <w:b/>
          <w:bCs/>
        </w:rPr>
        <w:t xml:space="preserve">September 2, 2026 — </w:t>
      </w:r>
      <w:r>
        <w:rPr>
          <w:b/>
          <w:bCs/>
        </w:rPr>
        <w:t xml:space="preserve">Deployed: repo created, site/ renamed to docs/, GitHub Pages enabled</w:t>
      </w:r>
    </w:p>
    <w:p>
      <w:pPr>
        <w:spacing w:after="160"/>
      </w:pPr>
      <w:r>
        <w:t xml:space="preserve">This folder was not yet a git repository — that turned out to be a real prerequisite for deployment, not just a settings toggle. Renamed site/ to docs/ (GitHub Pages' plain "deploy from a branch" option only serves the repo root or a /docs folder, not an arbitrary folder name, which avoids needing a GitHub Actions workflow) and updated export_data.py's output path to match. Initialized git, set a local commit identity (Josh's real name/email — he opted against GitHub's private noreply email), committed everything except chrome_profile/ (Cloudflare session data), __pycache__/, and an editor scratch file. Josh created the GitHub repository himself (github.com/joshalton00/nuforc-ufo-sightings, public) and ran the push from his own terminal, keeping the actual publish step and its authentication in his hands. He then enabled GitHub Pages (Settings → Pages → Deploy from a branch → main → /docs). Live at https://joshalton00.github.io/nuforc-ufo-sightings/, confirmed serving the correct page structure.</w:t>
      </w:r>
    </w:p>
    <w:p>
      <w:pPr>
        <w:spacing w:after="60" w:before="160"/>
      </w:pPr>
      <w:r>
        <w:rPr>
          <w:b/>
          <w:bCs/>
        </w:rPr>
        <w:t xml:space="preserve">September 3, 2026 — </w:t>
      </w:r>
      <w:r>
        <w:rPr>
          <w:b/>
          <w:bCs/>
        </w:rPr>
        <w:t xml:space="preserve">Post-launch chart polish: bar chart, year-range filter, tooltip/annotation fixes</w:t>
      </w:r>
    </w:p>
    <w:p>
      <w:pPr>
        <w:spacing w:after="160"/>
      </w:pPr>
      <w:r>
        <w:t xml:space="preserve">A round of feedback on the live site: Sightings by Day switched from a filled line chart to a bar chart (bargap: 0, so 366 daily bars read as a calendar histogram). Sightings by Year gained a Tableau-style year-range filter — noUiSlider (CDN-loaded) driving Plotly.relayout, with two editable year textboxes above a dual-handle slider, positioned below the chart at 75% width. One real bug surfaced building it: the slider's handles rendered oversized and off-center because nouislider.min.css was linked after style.css in &lt;head&gt;, so on tied CSS specificity noUiSlider's own default handle styling won the cascade over this project's overrides — fixed by reordering the two &lt;link&gt; tags. Also added: comma-formatted (thousands-separator) y-axis ticks on both charts, a dark-grey/white hover tooltip (replacing Plotly's default blue), and a shorter chart subtitle. The partial-current-year note (“2026 is in progress”) was tried as an arrow-pointing annotation with extra right margin first, but Josh preferred a small italicized footnote pinned to the plot's bottom-left corner instead — simpler, and immune to edge-clipping regardless of the year range currently filtered to.</w:t>
      </w:r>
    </w:p>
    <w:p>
      <w:pPr>
        <w:spacing w:after="60" w:before="160"/>
      </w:pPr>
      <w:r>
        <w:rPr>
          <w:b/>
          <w:bCs/>
        </w:rPr>
        <w:t xml:space="preserve">September 3, 2026 — </w:t>
      </w:r>
      <w:r>
        <w:rPr>
          <w:b/>
          <w:bCs/>
        </w:rPr>
        <w:t xml:space="preserve">Population data re-sourced: four stitched Census releases, not decade snapshots</w:t>
      </w:r>
    </w:p>
    <w:p>
      <w:pPr>
        <w:spacing w:after="160"/>
      </w:pPr>
      <w:r>
        <w:t xml:space="preserve">Discussed re-sourcing the national population-by-year data the original Tableau workbook used (see "Open items" above). The Census Bureau doesn't publish one continuous historical file — it re-publishes estimates in "vintages" that don't extend backward — so full 1900-2026 coverage needs four separate releases combined: Historical National Population Estimates (1900-1999, a single flat text file), National Intercensal Tables (2000-2010, Excel), National Population Totals 2010-2019 (Excel, monthly), and National Population Totals 2020-2025 (Excel, monthly, already extends through Dec 2026). Josh explicitly preferred this over combining Census's once-per-decade snapshot tables, since it gives complete annual coverage matching the sightings data's own year-by-year granularity, rather than four sparse data points a decade apart. Where two releases cover the same year (e.g. July 1, 2010 appears in both the 2000-2010 and 2010-2019 releases), the later vintage's figure wins, on the reasoning that it reflects more current Census methodology — logged to the console when it happens rather than resolved silently, the same approach export_data.py takes with the pre-1900 filtering decision. Wrote three new repo-root files: population_parsers.py (the four source-specific parsers — kept separate from the main script specifically so they could be unit-tested), import_population.py (downloads each source, calls the matching parser, combines and loads to a new us_population_by_year Postgres table — same self-installing-deps/getpass-password conventions as scrape_nuforc.py and export_data.py), and test_population_parsers.py (checks each parser against a small synthetic file built to mimic that source's real layout). The tests were necessary rather than optional here: neither this working environment nor Josh's own local device sandbox has network access to census.gov, so the parsing logic could not be verified against the real files directly before shipping it — Josh would need to run import_population.py himself and check its console output against what the tests already confirmed the logic does on known-shape input.</w:t>
      </w:r>
    </w:p>
    <w:p>
      <w:pPr>
        <w:spacing w:after="60" w:before="160"/>
      </w:pPr>
      <w:r>
        <w:rPr>
          <w:b/>
          <w:bCs/>
        </w:rPr>
        <w:t xml:space="preserve">September 3, 2026 — </w:t>
      </w:r>
      <w:r>
        <w:rPr>
          <w:b/>
          <w:bCs/>
        </w:rPr>
        <w:t xml:space="preserve">Population data loaded: three real parsing bugs found and fixed against the actual Census files</w:t>
      </w:r>
    </w:p>
    <w:p>
      <w:pPr>
        <w:spacing w:after="160"/>
      </w:pPr>
      <w:r>
        <w:t xml:space="preserve">Josh's first run of import_population.py surfaced two real failures: the 1900-1999 parser found only 3 of 100 years, and the 2000-2010 parser couldn't find a totals row at all. Rather than guess again, added a small no-database debug_dump_sources.py so the actual files could be pulled in and inspected directly. That turned up three genuine surprises the original parsers (written from documentation, not the files themselves) had gotten wrong: the 1900-1999 file's data lines read " July 1, 1999      272,690,813" — the year follows "July 1,", not a bare year at the line start as assumed; the 2000-2010 file's totals row is labeled "BOTH SEXES", never "Total", with its year headers split across two different rows and the 2010 column decorated as "July 1, 20103" (a footnote digit stuck directly to the year); and the two later monthly files put each year on its own standalone row ("2010") followed by twelve month-only sub-rows with no year at all — a structure where a footnote-suffixed year row ("2019 [1]", "2025 [1]") silently broke year-matching on the first pass, mis-attributing two real years of July figures to the prior year rather than erroring, until the fix explicitly stripped the footnote suffix. Also had to distinguish "Resident Population" from the always-slightly-larger "Resident Population Plus Armed Forces Overseas" column sitting right next to it in the same monthly files — an early "take the biggest number in the row" heuristic would have silently grabbed the wrong one. Each fix was verified against the real downloaded file (not just synthetic test fixtures, which were rewritten afterward to match the confirmed real shapes) before being sent back to Josh. His second run succeeded cleanly: us_population_by_year now holds a complete, gapless 1900-2026 series (127 rows). One year-over-year population decrease shows up in the data, 1917 to 1918 — a real, documented effect of WWI/the 1918 flu pandemic reflected directly in the source file's own figures, not a data error.</w:t>
      </w:r>
    </w:p>
    <w:p>
      <w:pPr>
        <w:spacing w:after="60" w:before="160"/>
      </w:pPr>
      <w:r>
        <w:rPr>
          <w:b/>
          <w:bCs/>
        </w:rPr>
        <w:t xml:space="preserve">September 3, 2026 — </w:t>
      </w:r>
      <w:r>
        <w:rPr>
          <w:b/>
          <w:bCs/>
        </w:rPr>
        <w:t xml:space="preserve">Geographic Slice Map built; Hex Map deferred until it's confirmed</w:t>
      </w:r>
    </w:p>
    <w:p>
      <w:pPr>
        <w:spacing w:after="160"/>
      </w:pPr>
      <w:r>
        <w:t xml:space="preserve">Sequencing question for the two remaining map sheets: Plotly has native choropleth support (locationmode: "USA-states") but no hex-cartogram chart type at all — a hex map needs a hardcoded grid layout (which state occupies which tile) plus hand-built hexagon shapes, a materially bigger and more novel piece of work. Josh chose to build and confirm the choropleth first rather than take both on at once. export_sightings_by_state.py (new, delivered) groups nuforc_ufo_data by state and year — the State column mixes US states with non-US regions (NUFORC accepts worldwide reports) and its exact format couldn't be inspected directly beforehand, so normalize_state() accepts either a USPS 2-letter code or a spelled-out name, matched against the same STATE_NAMES whitelist state_population_parsers.py already uses (imported, not re-defined, so the two can't drift apart), and reports match/drop counts loudly on the console rather than silently guessing wrong. A bug surfaced and was fixed before sending it over: Python's str.title() capitalizes "of" too ("District Of Columbia"), which would have failed to match "District of Columbia" — caught by a synthetic-case test, fixed with a case-insensitive lookup instead. The choropleth itself (script.js) uses a year dropdown (2000–2025, Plotly's layout.updatemenus "dropdown" type — a button pair works for the yearly chart's 2 options, but 26 years wants a dropdown instead) and a single-hue sequential blue fill, the sequential-magnitude palette this project's dataviz style guide calls for on a choropleth. The color scale's max is fixed across all years (not rescaled per year) so the color meaning stays comparable as you switch years. Data logic (the state/year reshaping, the per-100K math, the state-to-postal-code lookup) was checked against Josh's real population_state.json before sending it over — 51 states, correct year range, no missing lookups — but the map itself couldn't be rendered to check visually, same CDN restriction as every other chart change this session; it's going to Josh to run the new export script and check the map in his own browser.</w:t>
      </w:r>
    </w:p>
    <w:p>
      <w:pPr>
        <w:spacing w:after="60" w:before="160"/>
      </w:pPr>
      <w:r>
        <w:rPr>
          <w:b/>
          <w:bCs/>
        </w:rPr>
        <w:t xml:space="preserve">September 3, 2026 — </w:t>
      </w:r>
      <w:r>
        <w:rPr>
          <w:b/>
          <w:bCs/>
        </w:rPr>
        <w:t xml:space="preserve">Per-million toggle added to Sightings Over Time, confirmed working</w:t>
      </w:r>
    </w:p>
    <w:p>
      <w:pPr>
        <w:spacing w:after="160"/>
      </w:pPr>
      <w:r>
        <w:t xml:space="preserve">With population_national.json now exported, the yearly chart got a Raw counts / Per million people button pair (Plotly's layout.updatemenus, the technique the “Interactivity” section of this plan already called out for exactly this kind of swap). Raw counts stays the default view; the per-million series is computed client-side (sightings ÷ population × 1,000,000, keyed by year) rather than via any server-side join, matching the no-join decision below. Extra top margin was added to the chart to make room for the buttons. This one couldn't be verified before sending it over — this sandbox's browser testing tools can't reach the Plotly/noUiSlider CDNs either (same network restriction noted for census.gov earlier) — so unlike some earlier chart changes it went to Josh to check in his own browser first. Confirmed working. The original Tableau sheet's pop-culture/movie-release annotations and the 1994-online-reporting marker were not built — not requested, and a separate scope from the normalization itself.</w:t>
      </w:r>
    </w:p>
    <w:p>
      <w:pPr>
        <w:spacing w:after="60" w:before="160"/>
      </w:pPr>
      <w:r>
        <w:rPr>
          <w:b/>
          <w:bCs/>
        </w:rPr>
        <w:t xml:space="preserve">September 3, 2026 — </w:t>
      </w:r>
      <w:r>
        <w:rPr>
          <w:b/>
          <w:bCs/>
        </w:rPr>
        <w:t xml:space="preserve">Population export: two independent scripts, no server-side join or view</w:t>
      </w:r>
    </w:p>
    <w:p>
      <w:pPr>
        <w:spacing w:after="160"/>
      </w:pPr>
      <w:r>
        <w:t xml:space="preserve">With both population tables loaded, the question was how to get the “per million”/“per 100K” figures onto the charts: a Postgres View joining sightings against population, or a join inside a Python export script, or no join at all. Landed on the simplest option — no join anywhere server-side. export_national_population.py and export_state_population.py each do a straight, unjoined dump of their table to JSON (population_national.json, population_state.json), matching the plain arrays export_data.py already writes. The actual per-capita division is cheap enough to happen client-side in script.js at render time (load both JSON files, divide) — consistent with the site's existing architecture (“aggregation happens ahead of time... all filtering happens client-side”), and it keeps the three export scripts genuinely independent, which was the point of splitting population out of export_data.py in the first place: sightings, national population, and state population each get a fresh source release on their own schedule, and now each can be re-exported without touching the others. A Postgres View was considered and rejected: besides adding a database object outside the Python-scripted, version-controlled pipeline the rest of this project uses, it would actively break the existing import scripts — import_population.py and import_state_population.py both reload their table with if_exists="replace", which issues a plain DROP TABLE (no CASCADE), and Postgres refuses to drop a table a View depends on. A View still might be handy for Josh to spot-check numbers ad hoc in pgAdmin, just not as something any script relies on existing.</w:t>
      </w:r>
    </w:p>
    <w:p>
      <w:pPr>
        <w:spacing w:after="60" w:before="160"/>
      </w:pPr>
      <w:r>
        <w:rPr>
          <w:b/>
          <w:bCs/>
        </w:rPr>
        <w:t xml:space="preserve">September 3, 2026 — </w:t>
      </w:r>
      <w:r>
        <w:rPr>
          <w:b/>
          <w:bCs/>
        </w:rPr>
        <w:t xml:space="preserve">State population sourcing: scoped to 2000–2025, verified against real files before writing any parser</w:t>
      </w:r>
    </w:p>
    <w:p>
      <w:pPr>
        <w:spacing w:after="160"/>
      </w:pPr>
      <w:r>
        <w:t xml:space="preserve">Josh asked for population by state next, needed for the Geographic Slice Map and Hex Map sheets. The Census Bureau's state-level releases turned out more fragmented than the national ones: full 1900–2026 coverage would need five vintages instead of four, including nine separate unverified 1900–1990 decade text files and a 1990–2000 release that's a PDF table rather than Excel. Given how often the national data's real files diverged from documentation, Josh chose to scope this to 2000–2025 — three vintages, all clean Excel — rather than take on that added fragility for the same September 3, 2026 request. Learning from the national data's two rounds of blind debugging, this time debug_dump_state_sources.py (same no-database pattern) was sent over and run FIRST, and the real files were inspected directly before any parser was written. That paid off: all three vintages turned out to share one common "wide" layout (one row per geography, one column per year) with states prefixed by a leading "." — needing only a single shared parser, parse_state_wide_table(), rather than one per source as the national data needed. One real quirk the inspection caught: Puerto Rico is listed without a "." prefix in the 2000-2010 and 2010-2019 files, but WITH one (indistinguishable from a real state row) in the 2020-2025 file. Handled by matching row labels against an explicit whitelist of the 50 state names plus D.C., rather than relying on the "." prefix — a regression test (test_state_population_parsers.py) locks this in. state_population_parsers.py, import_state_population.py, and test_state_population_parsers.py were delivered to the repo together, already dry-run end-to-end against Josh's real downloaded files (51 states/D.C. × 2000–2025, no gaps, overlap years correctly resolved to the later vintage) before being sent — so, unlike the national import, this is not expected to need a live debugging round, though Josh still needs to run it himself against the real database to load us_state_population_by_year.</w:t>
      </w:r>
    </w:p>
    <w:p>
      <w:pPr>
        <w:spacing w:after="60" w:before="160"/>
      </w:pPr>
      <w:r>
        <w:rPr>
          <w:b/>
          <w:bCs/>
        </w:rPr>
        <w:t xml:space="preserve">September 3, 2026 — </w:t>
      </w:r>
      <w:r>
        <w:rPr>
          <w:b/>
          <w:bCs/>
        </w:rPr>
        <w:t xml:space="preserve">Geographic Slice Map, round 2: direct labels, Total/Per-capita toggle, All-years option, colorbar removed</w:t>
      </w:r>
    </w:p>
    <w:p>
      <w:pPr>
        <w:spacing w:after="160"/>
      </w:pPr>
      <w:r>
        <w:t xml:space="preserve">After confirming the first version of the choropleth, Josh asked for four changes: drop the colorbar; print the actual number on states with room to fit it (tooltip-only where it won't); a button toggle between total sightings and per-capita, alongside the existing year control; and an "All years" entry in the year dropdown, still defaulting to 2025. The direct labels are a second Plotly trace (scattergeo, mode: "text") plotted at hand-placed centroid coordinates for about 40 states, layered on top of the choropleth — Plotly has no built-in way to print a number inside a choropleth region. Alaska and Hawaii stay tooltip-only regardless of size: Plotly's USA-scope choropleth automatically repositions those two into inset boxes, but that repositioning only applies to the choropleth trace itself, not a second trace plotted by raw longitude/latitude, so a label there would render out in the open ocean at its true coordinates rather than inside the inset — no supported way to hook into that repositioning from outside the choropleth trace. The smallest Northeast/Mid-Atlantic states plus D.C. are also tooltip-only, simply too small on a national map for a legible number. Each label's ink color (white vs. this project's dark body-text color) is chosen per state by computing the WCAG 2.x contrast ratio against that state's own current fill color and picking whichever wins — not a fixed light/dark split, since the same color could sit on either side of readable depending on how light or dark that particular state's value makes its fill. The year dropdown and the total/per-capita toggle are two separate Plotly updatemenus, and their combination (e.g. "2010, per capita") can't be expressed as static per-button arguments the way the existing two-option yearly toggle is — so both menus use method: "skip" (Plotly still highlights whichever button was clicked, but runs no built-in update) and a plotly_buttonclicked listener tracks which year and which measure are currently selected, recomputing and restyling both the choropleth and the label trace together on every click. "All years" sums sightings across 2000–2025 for the total view; its per-capita figure divides that sum by 2025's population specifically (not a sum of populations across years, which would badly understate the rate) — an approximation that ignores population change within the range, but a reasonable one for a headline all-time figure. The color scale's upper bound is now computed separately for each of the four combinations (total/per-capita × a single year/all years), so the much larger all-years totals don't wash out the color contrast used for comparing individual years. Before sending it over, the new logic (year/measure combination math, label filtering, color/contrast selection) was run end-to-end through a Node script that drove the actual plotly_buttonclicked handler against Josh's real population_state.json, checking every year × measure combination's output for missing or malformed values — a real sightings_by_state.json wasn't available in this sandbox, so a synthetic one matching its shape stood in for that half of the input. No problems turned up. The map's actual on-screen appearance is still unverified, same as every prior chart change — going to Josh to check in his own browser.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2026-09-03T19:07:52.638Z</dcterms:created>
  <dcterms:modified xsi:type="dcterms:W3CDTF">2026-09-03T19:07:52.638Z</dcterms:modified>
</cp:coreProperties>
</file>

<file path=docProps/custom.xml><?xml version="1.0" encoding="utf-8"?>
<Properties xmlns="http://schemas.openxmlformats.org/officeDocument/2006/custom-properties" xmlns:vt="http://schemas.openxmlformats.org/officeDocument/2006/docPropsVTypes"/>
</file>