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9F8" w:rsidRDefault="008202EC">
      <w:r>
        <w:t xml:space="preserve">To </w:t>
      </w:r>
      <w:r w:rsidR="00064BA4">
        <w:t xml:space="preserve">accurately </w:t>
      </w:r>
      <w:r>
        <w:t xml:space="preserve">calculate the FWHM of the telescopes it is essential to model the </w:t>
      </w:r>
      <w:r w:rsidR="00064BA4">
        <w:t xml:space="preserve">galaxies </w:t>
      </w:r>
      <w:r>
        <w:t>as extended bodies rather than point sources.</w:t>
      </w:r>
      <w:r w:rsidR="00295565">
        <w:t xml:space="preserve"> </w:t>
      </w:r>
      <w:r>
        <w:t>To do this the angular size that a galaxy would subtend on the sky</w:t>
      </w:r>
      <w:r w:rsidR="00064BA4">
        <w:t xml:space="preserve"> is calculated</w:t>
      </w:r>
      <w:r>
        <w:t xml:space="preserve">. The first requirement of this is to determine the size of an average galaxy. There have been </w:t>
      </w:r>
      <w:r w:rsidR="002C01DD">
        <w:t xml:space="preserve">limited </w:t>
      </w:r>
      <w:r>
        <w:t>detections of high redshift galaxies and even fewer have had their paramet</w:t>
      </w:r>
      <w:r w:rsidR="00064BA4">
        <w:t xml:space="preserve">ers defined using spectroscopy. </w:t>
      </w:r>
      <w:r w:rsidR="009E3686">
        <w:t xml:space="preserve">Using values </w:t>
      </w:r>
      <w:r w:rsidR="00B94999">
        <w:t xml:space="preserve">based on confirmed galaxies at redshifts of 6 and candidates at higher redshifts </w:t>
      </w:r>
      <w:r w:rsidR="009E3686">
        <w:t>[</w:t>
      </w:r>
      <w:proofErr w:type="spellStart"/>
      <w:r w:rsidR="00B94999">
        <w:t>Ono_FWHM</w:t>
      </w:r>
      <w:proofErr w:type="spellEnd"/>
      <w:r w:rsidR="009E3686">
        <w:t>]</w:t>
      </w:r>
      <w:r w:rsidR="00B94999">
        <w:t xml:space="preserve"> </w:t>
      </w:r>
      <w:r w:rsidR="009E3686">
        <w:t>[</w:t>
      </w:r>
      <w:proofErr w:type="spellStart"/>
      <w:r w:rsidR="00B94999">
        <w:t>Bouwens_FWHM</w:t>
      </w:r>
      <w:proofErr w:type="spellEnd"/>
      <w:r w:rsidR="009E3686">
        <w:t>]</w:t>
      </w:r>
      <w:r w:rsidR="00B94999">
        <w:t xml:space="preserve"> </w:t>
      </w:r>
      <w:r w:rsidR="009E3686">
        <w:t>[</w:t>
      </w:r>
      <w:proofErr w:type="spellStart"/>
      <w:r w:rsidR="00B94999">
        <w:t>Oesc_FWHM</w:t>
      </w:r>
      <w:proofErr w:type="spellEnd"/>
      <w:r w:rsidR="009E3686">
        <w:t>]</w:t>
      </w:r>
      <w:r w:rsidR="00B94999">
        <w:t xml:space="preserve"> </w:t>
      </w:r>
      <w:r w:rsidR="009E3686">
        <w:t>[</w:t>
      </w:r>
      <w:proofErr w:type="spellStart"/>
      <w:r w:rsidR="00B94999">
        <w:t>Jiang_FWHM</w:t>
      </w:r>
      <w:proofErr w:type="spellEnd"/>
      <w:r w:rsidR="005E052A">
        <w:t xml:space="preserve">] the diameter </w:t>
      </w:r>
      <w:r w:rsidR="009E3686">
        <w:t>of a galaxy is fix</w:t>
      </w:r>
      <w:r w:rsidR="00B94999">
        <w:t>ed at 1.5kpc for all redshifts.</w:t>
      </w:r>
    </w:p>
    <w:p w:rsidR="003549F8" w:rsidRDefault="00064BA4" w:rsidP="003549F8">
      <w:r>
        <w:t xml:space="preserve">To avoid unnecessarily complex calculations </w:t>
      </w:r>
      <w:r w:rsidR="003549F8">
        <w:t>a cosmological calculator</w:t>
      </w:r>
      <w:r w:rsidR="002C01DD">
        <w:t xml:space="preserve"> </w:t>
      </w:r>
      <w:r w:rsidR="003549F8">
        <w:t>[</w:t>
      </w:r>
      <w:proofErr w:type="spellStart"/>
      <w:r w:rsidR="002448DF">
        <w:t>Ned_Calc</w:t>
      </w:r>
      <w:proofErr w:type="spellEnd"/>
      <w:r w:rsidR="003549F8">
        <w:t>]</w:t>
      </w:r>
      <w:r>
        <w:t xml:space="preserve"> is used to calculate</w:t>
      </w:r>
      <w:r w:rsidR="003549F8">
        <w:t xml:space="preserve"> the angular scale (</w:t>
      </w:r>
      <w:proofErr w:type="spellStart"/>
      <w:r w:rsidR="003549F8">
        <w:t>kpc</w:t>
      </w:r>
      <w:proofErr w:type="spellEnd"/>
      <w:r w:rsidR="003549F8">
        <w:t xml:space="preserve">/”) </w:t>
      </w:r>
      <w:r>
        <w:t xml:space="preserve">at given </w:t>
      </w:r>
      <w:r w:rsidR="003549F8">
        <w:t>re</w:t>
      </w:r>
      <w:r w:rsidR="006B1D4C">
        <w:t>d</w:t>
      </w:r>
      <w:r w:rsidR="003549F8">
        <w:t>shift</w:t>
      </w:r>
      <w:r>
        <w:t>s</w:t>
      </w:r>
      <w:r w:rsidR="006B1D4C">
        <w:t>,</w:t>
      </w:r>
      <w:r>
        <w:t xml:space="preserve"> a plot of these values is</w:t>
      </w:r>
      <w:r w:rsidR="006B1D4C">
        <w:t xml:space="preserve"> shown in </w:t>
      </w:r>
      <w:proofErr w:type="gramStart"/>
      <w:r w:rsidR="006B1D4C">
        <w:t>fig[</w:t>
      </w:r>
      <w:proofErr w:type="gramEnd"/>
      <w:r w:rsidR="006B1D4C">
        <w:t>]</w:t>
      </w:r>
      <w:r w:rsidR="003549F8">
        <w:t>:</w:t>
      </w:r>
    </w:p>
    <w:p w:rsidR="003549F8" w:rsidRDefault="003549F8" w:rsidP="003549F8">
      <w:pPr>
        <w:jc w:val="center"/>
      </w:pPr>
      <w:r w:rsidRPr="003549F8">
        <w:rPr>
          <w:noProof/>
          <w:lang w:eastAsia="en-GB"/>
        </w:rPr>
        <w:drawing>
          <wp:inline distT="0" distB="0" distL="0" distR="0">
            <wp:extent cx="4121629" cy="2449902"/>
            <wp:effectExtent l="19050" t="0" r="12221" b="7548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17C86" w:rsidRDefault="00E17C86" w:rsidP="003549F8">
      <w:pPr>
        <w:jc w:val="center"/>
      </w:pPr>
      <w:r>
        <w:t>A graph showing angular size of target galaxy as a function of redshift</w:t>
      </w:r>
    </w:p>
    <w:p w:rsidR="00064BA4" w:rsidRDefault="006B1D4C" w:rsidP="003549F8">
      <w:r>
        <w:t>This clearly shows a linear trend allowing us</w:t>
      </w:r>
      <w:r w:rsidR="002C01DD">
        <w:t xml:space="preserve"> to set the FWHM as a </w:t>
      </w:r>
      <w:r w:rsidR="00064BA4">
        <w:t xml:space="preserve">simple </w:t>
      </w:r>
      <w:r w:rsidR="002C01DD">
        <w:t>function of</w:t>
      </w:r>
      <w:r w:rsidR="00064BA4">
        <w:t xml:space="preserve"> redshift;</w:t>
      </w:r>
    </w:p>
    <w:p w:rsidR="00064BA4" w:rsidRDefault="00064BA4" w:rsidP="003549F8">
      <w:r>
        <w:t>FWHM= 0.0238 x (redshift) + 0.1133</w:t>
      </w:r>
    </w:p>
    <w:p w:rsidR="003549F8" w:rsidRDefault="00064BA4" w:rsidP="003549F8">
      <w:proofErr w:type="gramStart"/>
      <w:r>
        <w:t>this</w:t>
      </w:r>
      <w:proofErr w:type="gramEnd"/>
      <w:r>
        <w:t xml:space="preserve"> FWHM function then fits into the CCD equation program.</w:t>
      </w:r>
      <w:r w:rsidR="002C01DD">
        <w:t xml:space="preserve"> This </w:t>
      </w:r>
      <w:r>
        <w:t xml:space="preserve">linear trend </w:t>
      </w:r>
      <w:r w:rsidR="002C01DD">
        <w:t xml:space="preserve">matches very well with the theory, as is shown in </w:t>
      </w:r>
      <w:proofErr w:type="gramStart"/>
      <w:r w:rsidR="002C01DD">
        <w:t>fig[</w:t>
      </w:r>
      <w:proofErr w:type="gramEnd"/>
      <w:r w:rsidR="002C01DD">
        <w:t>].</w:t>
      </w:r>
    </w:p>
    <w:p w:rsidR="003549F8" w:rsidRDefault="003549F8" w:rsidP="003549F8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717165" cy="2708910"/>
            <wp:effectExtent l="19050" t="0" r="6985" b="0"/>
            <wp:docPr id="3" name="Picture 1" descr="Fig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1DD" w:rsidRDefault="005B4543" w:rsidP="003549F8">
      <w:pPr>
        <w:jc w:val="center"/>
      </w:pPr>
      <w:r>
        <w:lastRenderedPageBreak/>
        <w:t xml:space="preserve">Caption: </w:t>
      </w:r>
      <w:r w:rsidR="00E17C86">
        <w:t>A graph showing variation in angular size as a function of redshift [</w:t>
      </w:r>
      <w:proofErr w:type="spellStart"/>
      <w:r w:rsidR="00E17C86">
        <w:t>Sahni_FWHM</w:t>
      </w:r>
      <w:proofErr w:type="spellEnd"/>
      <w:r w:rsidR="00E17C86">
        <w:t>]</w:t>
      </w:r>
    </w:p>
    <w:p w:rsidR="003549F8" w:rsidRDefault="002C01DD" w:rsidP="003549F8">
      <w:r>
        <w:t xml:space="preserve">Here it can be clearly seen that for </w:t>
      </w:r>
      <w:r w:rsidR="003549F8">
        <w:t xml:space="preserve">the redshifts of interest in this study, </w:t>
      </w:r>
      <w:proofErr w:type="gramStart"/>
      <w:r w:rsidR="003549F8">
        <w:t>between 6-15,</w:t>
      </w:r>
      <w:proofErr w:type="gramEnd"/>
      <w:r w:rsidR="003549F8">
        <w:t xml:space="preserve"> the angular size </w:t>
      </w:r>
      <w:r>
        <w:t xml:space="preserve">to </w:t>
      </w:r>
      <w:r w:rsidR="003549F8">
        <w:t xml:space="preserve">redshift </w:t>
      </w:r>
      <w:r w:rsidR="00D94343">
        <w:t>relation will be in the linear regime. Although this graph does not strictly show z&gt;10, the relation remains linear for a great deal longer and is fully applicable for the majority of the observations proposed in this study.</w:t>
      </w:r>
      <w:r w:rsidR="00064BA4">
        <w:t xml:space="preserve"> </w:t>
      </w:r>
    </w:p>
    <w:sectPr w:rsidR="003549F8" w:rsidSect="00F87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02EC"/>
    <w:rsid w:val="00064BA4"/>
    <w:rsid w:val="001E78A1"/>
    <w:rsid w:val="002448DF"/>
    <w:rsid w:val="00295565"/>
    <w:rsid w:val="002C01DD"/>
    <w:rsid w:val="003549F8"/>
    <w:rsid w:val="0054709A"/>
    <w:rsid w:val="00592C48"/>
    <w:rsid w:val="005B4543"/>
    <w:rsid w:val="005E052A"/>
    <w:rsid w:val="006B1D4C"/>
    <w:rsid w:val="008202EC"/>
    <w:rsid w:val="0088483C"/>
    <w:rsid w:val="009E3686"/>
    <w:rsid w:val="009E590A"/>
    <w:rsid w:val="00B1384B"/>
    <w:rsid w:val="00B94999"/>
    <w:rsid w:val="00D94343"/>
    <w:rsid w:val="00E17C86"/>
    <w:rsid w:val="00E930A0"/>
    <w:rsid w:val="00EE7C98"/>
    <w:rsid w:val="00F2217C"/>
    <w:rsid w:val="00F87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9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999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44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0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ke\Dropbox\ExtraGalactic%20Group%20Studies\Observationals\Observing%20Spreadsheet%20with%20fwhm%20alteratio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autoTitleDeleted val="1"/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trendline>
            <c:trendlineType val="linear"/>
            <c:dispEq val="1"/>
            <c:trendlineLbl>
              <c:layout>
                <c:manualLayout>
                  <c:x val="-1.1948381452318503E-2"/>
                  <c:y val="-2.8136847477398738E-2"/>
                </c:manualLayout>
              </c:layout>
              <c:numFmt formatCode="General" sourceLinked="0"/>
            </c:trendlineLbl>
          </c:trendline>
          <c:xVal>
            <c:numRef>
              <c:f>Sheet1!$I$19:$I$28</c:f>
              <c:numCache>
                <c:formatCode>0.00</c:formatCode>
                <c:ptCount val="10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</c:numCache>
            </c:numRef>
          </c:xVal>
          <c:yVal>
            <c:numRef>
              <c:f>Sheet1!$J$19:$J$28</c:f>
              <c:numCache>
                <c:formatCode>General</c:formatCode>
                <c:ptCount val="10"/>
                <c:pt idx="0">
                  <c:v>0.25700000000000001</c:v>
                </c:pt>
                <c:pt idx="1">
                  <c:v>0.28100000000000008</c:v>
                </c:pt>
                <c:pt idx="2">
                  <c:v>0.30400000000000038</c:v>
                </c:pt>
                <c:pt idx="3">
                  <c:v>0.32800000000000057</c:v>
                </c:pt>
                <c:pt idx="4">
                  <c:v>0.35240000000000032</c:v>
                </c:pt>
                <c:pt idx="5">
                  <c:v>0.3760000000000005</c:v>
                </c:pt>
                <c:pt idx="6">
                  <c:v>0.4</c:v>
                </c:pt>
                <c:pt idx="7">
                  <c:v>0.42400000000000032</c:v>
                </c:pt>
                <c:pt idx="8">
                  <c:v>0.44800000000000029</c:v>
                </c:pt>
                <c:pt idx="9">
                  <c:v>0.47200000000000031</c:v>
                </c:pt>
              </c:numCache>
            </c:numRef>
          </c:yVal>
        </c:ser>
        <c:axId val="87343872"/>
        <c:axId val="92007040"/>
      </c:scatterChart>
      <c:valAx>
        <c:axId val="873438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Redshift</a:t>
                </a:r>
              </a:p>
            </c:rich>
          </c:tx>
        </c:title>
        <c:numFmt formatCode="0.00" sourceLinked="1"/>
        <c:majorTickMark val="none"/>
        <c:tickLblPos val="nextTo"/>
        <c:crossAx val="92007040"/>
        <c:crosses val="autoZero"/>
        <c:crossBetween val="midCat"/>
      </c:valAx>
      <c:valAx>
        <c:axId val="9200704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Angular size(")</a:t>
                </a:r>
              </a:p>
            </c:rich>
          </c:tx>
        </c:title>
        <c:numFmt formatCode="General" sourceLinked="1"/>
        <c:majorTickMark val="none"/>
        <c:tickLblPos val="nextTo"/>
        <c:crossAx val="87343872"/>
        <c:crosses val="autoZero"/>
        <c:crossBetween val="midCat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10</cp:revision>
  <dcterms:created xsi:type="dcterms:W3CDTF">2013-03-13T20:01:00Z</dcterms:created>
  <dcterms:modified xsi:type="dcterms:W3CDTF">2013-03-18T17:13:00Z</dcterms:modified>
</cp:coreProperties>
</file>