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318" w:rsidRPr="00784CC6" w:rsidRDefault="004451F0" w:rsidP="005A7318">
      <w:pPr>
        <w:rPr>
          <w:b/>
          <w:sz w:val="20"/>
          <w:szCs w:val="20"/>
        </w:rPr>
      </w:pPr>
      <w:r w:rsidRPr="00784CC6">
        <w:rPr>
          <w:b/>
          <w:sz w:val="20"/>
          <w:szCs w:val="20"/>
        </w:rPr>
        <w:t>Final strategy</w:t>
      </w:r>
      <w:r w:rsidR="00444BBB" w:rsidRPr="00784CC6">
        <w:rPr>
          <w:b/>
          <w:sz w:val="20"/>
          <w:szCs w:val="20"/>
        </w:rPr>
        <w:t>:</w:t>
      </w:r>
    </w:p>
    <w:p w:rsidR="005A7318" w:rsidRPr="00784CC6" w:rsidRDefault="000069CA" w:rsidP="005A7318">
      <w:pPr>
        <w:rPr>
          <w:sz w:val="20"/>
          <w:szCs w:val="20"/>
        </w:rPr>
      </w:pPr>
      <w:r w:rsidRPr="00784CC6">
        <w:rPr>
          <w:sz w:val="20"/>
          <w:szCs w:val="20"/>
        </w:rPr>
        <w:t>In this section the proposal for an observing strategy capable of observing from redshift 6-1</w:t>
      </w:r>
      <w:r w:rsidR="00307593">
        <w:rPr>
          <w:sz w:val="20"/>
          <w:szCs w:val="20"/>
        </w:rPr>
        <w:t>5</w:t>
      </w:r>
      <w:r w:rsidRPr="00784CC6">
        <w:rPr>
          <w:sz w:val="20"/>
          <w:szCs w:val="20"/>
        </w:rPr>
        <w:t xml:space="preserve"> is outlined. This strategy is ambitious, requiring a great deal of time on telescopes which are in high demand</w:t>
      </w:r>
      <w:r w:rsidR="005A7318" w:rsidRPr="00784CC6">
        <w:rPr>
          <w:sz w:val="20"/>
          <w:szCs w:val="20"/>
        </w:rPr>
        <w:t>;</w:t>
      </w:r>
      <w:r w:rsidRPr="00784CC6">
        <w:rPr>
          <w:sz w:val="20"/>
          <w:szCs w:val="20"/>
        </w:rPr>
        <w:t xml:space="preserve"> this is an inevitable consequence when wishing to observe such distant times. </w:t>
      </w:r>
    </w:p>
    <w:p w:rsidR="005A7318" w:rsidRPr="00784CC6" w:rsidRDefault="001A65AC" w:rsidP="005A7318">
      <w:pPr>
        <w:rPr>
          <w:sz w:val="20"/>
          <w:szCs w:val="20"/>
        </w:rPr>
      </w:pPr>
      <w:r w:rsidRPr="00784CC6">
        <w:rPr>
          <w:sz w:val="20"/>
          <w:szCs w:val="20"/>
        </w:rPr>
        <w:t>This strategy has 2 parts; firstly photometry</w:t>
      </w:r>
      <w:r w:rsidR="005A7318" w:rsidRPr="00784CC6">
        <w:rPr>
          <w:sz w:val="20"/>
          <w:szCs w:val="20"/>
        </w:rPr>
        <w:t>,</w:t>
      </w:r>
      <w:r w:rsidRPr="00784CC6">
        <w:rPr>
          <w:sz w:val="20"/>
          <w:szCs w:val="20"/>
        </w:rPr>
        <w:t xml:space="preserve"> where the dropout meth</w:t>
      </w:r>
      <w:r w:rsidR="005A7318" w:rsidRPr="00784CC6">
        <w:rPr>
          <w:sz w:val="20"/>
          <w:szCs w:val="20"/>
        </w:rPr>
        <w:t xml:space="preserve">od is used to identify Lyman </w:t>
      </w:r>
      <w:r w:rsidRPr="00784CC6">
        <w:rPr>
          <w:sz w:val="20"/>
          <w:szCs w:val="20"/>
        </w:rPr>
        <w:t>Break Galaxy candidates and secondly spectroscopy which will be used on a selection of these candidates to confirm thei</w:t>
      </w:r>
      <w:r w:rsidR="005A7318" w:rsidRPr="00784CC6">
        <w:rPr>
          <w:sz w:val="20"/>
          <w:szCs w:val="20"/>
        </w:rPr>
        <w:t xml:space="preserve">r redshift and properties. </w:t>
      </w:r>
    </w:p>
    <w:p w:rsidR="005A7318" w:rsidRPr="00784CC6" w:rsidRDefault="005A7318" w:rsidP="005A7318">
      <w:pPr>
        <w:rPr>
          <w:b/>
          <w:bCs/>
          <w:sz w:val="20"/>
          <w:szCs w:val="20"/>
        </w:rPr>
      </w:pPr>
      <w:r w:rsidRPr="00784CC6">
        <w:rPr>
          <w:b/>
          <w:bCs/>
          <w:sz w:val="20"/>
          <w:szCs w:val="20"/>
        </w:rPr>
        <w:t>Phase 1: Photometry</w:t>
      </w:r>
    </w:p>
    <w:p w:rsidR="000069CA" w:rsidRPr="00784CC6" w:rsidRDefault="005A7318" w:rsidP="005A7318">
      <w:pPr>
        <w:rPr>
          <w:sz w:val="20"/>
          <w:szCs w:val="20"/>
        </w:rPr>
      </w:pPr>
      <w:r w:rsidRPr="00784CC6">
        <w:rPr>
          <w:sz w:val="20"/>
          <w:szCs w:val="20"/>
        </w:rPr>
        <w:t xml:space="preserve">Table </w:t>
      </w:r>
      <w:r w:rsidR="001A65AC" w:rsidRPr="00784CC6">
        <w:rPr>
          <w:sz w:val="20"/>
          <w:szCs w:val="20"/>
        </w:rPr>
        <w:t xml:space="preserve">[] </w:t>
      </w:r>
      <w:r w:rsidRPr="00784CC6">
        <w:rPr>
          <w:sz w:val="20"/>
          <w:szCs w:val="20"/>
        </w:rPr>
        <w:t>outline the first phase of the strategy; Photometry</w:t>
      </w:r>
    </w:p>
    <w:tbl>
      <w:tblPr>
        <w:tblStyle w:val="TableGrid"/>
        <w:tblW w:w="0" w:type="auto"/>
        <w:tblLook w:val="04A0"/>
      </w:tblPr>
      <w:tblGrid>
        <w:gridCol w:w="2414"/>
        <w:gridCol w:w="2094"/>
        <w:gridCol w:w="2297"/>
        <w:gridCol w:w="2086"/>
      </w:tblGrid>
      <w:tr w:rsidR="004369B6" w:rsidRPr="00784CC6" w:rsidTr="009C07F0">
        <w:trPr>
          <w:trHeight w:val="550"/>
        </w:trPr>
        <w:tc>
          <w:tcPr>
            <w:tcW w:w="2414" w:type="dxa"/>
          </w:tcPr>
          <w:p w:rsidR="004369B6" w:rsidRPr="00784CC6" w:rsidRDefault="004369B6" w:rsidP="004369B6">
            <w:pPr>
              <w:rPr>
                <w:b/>
                <w:sz w:val="20"/>
                <w:szCs w:val="20"/>
              </w:rPr>
            </w:pPr>
          </w:p>
        </w:tc>
        <w:tc>
          <w:tcPr>
            <w:tcW w:w="2094" w:type="dxa"/>
          </w:tcPr>
          <w:p w:rsidR="004369B6" w:rsidRPr="00784CC6" w:rsidRDefault="00521DB4" w:rsidP="004369B6">
            <w:pPr>
              <w:rPr>
                <w:b/>
                <w:sz w:val="20"/>
                <w:szCs w:val="20"/>
              </w:rPr>
            </w:pPr>
            <w:r w:rsidRPr="00784CC6">
              <w:rPr>
                <w:b/>
                <w:sz w:val="20"/>
                <w:szCs w:val="20"/>
              </w:rPr>
              <w:t>Low Redshift survey</w:t>
            </w:r>
          </w:p>
          <w:p w:rsidR="004369B6" w:rsidRPr="00784CC6" w:rsidRDefault="004369B6">
            <w:pPr>
              <w:rPr>
                <w:b/>
                <w:sz w:val="20"/>
                <w:szCs w:val="20"/>
              </w:rPr>
            </w:pPr>
          </w:p>
        </w:tc>
        <w:tc>
          <w:tcPr>
            <w:tcW w:w="2297" w:type="dxa"/>
          </w:tcPr>
          <w:p w:rsidR="004369B6" w:rsidRPr="00784CC6" w:rsidRDefault="004369B6" w:rsidP="009C07F0">
            <w:pPr>
              <w:rPr>
                <w:b/>
                <w:sz w:val="20"/>
                <w:szCs w:val="20"/>
              </w:rPr>
            </w:pPr>
            <w:r w:rsidRPr="00784CC6">
              <w:rPr>
                <w:b/>
                <w:sz w:val="20"/>
                <w:szCs w:val="20"/>
              </w:rPr>
              <w:t>Intermediate redshift survey</w:t>
            </w:r>
          </w:p>
        </w:tc>
        <w:tc>
          <w:tcPr>
            <w:tcW w:w="2086" w:type="dxa"/>
          </w:tcPr>
          <w:p w:rsidR="004369B6" w:rsidRPr="00784CC6" w:rsidRDefault="004369B6" w:rsidP="004369B6">
            <w:pPr>
              <w:rPr>
                <w:b/>
                <w:sz w:val="20"/>
                <w:szCs w:val="20"/>
              </w:rPr>
            </w:pPr>
            <w:r w:rsidRPr="00784CC6">
              <w:rPr>
                <w:b/>
                <w:sz w:val="20"/>
                <w:szCs w:val="20"/>
              </w:rPr>
              <w:t>High redshift survey</w:t>
            </w:r>
          </w:p>
          <w:p w:rsidR="004369B6" w:rsidRPr="00784CC6" w:rsidRDefault="004369B6">
            <w:pPr>
              <w:rPr>
                <w:b/>
                <w:sz w:val="20"/>
                <w:szCs w:val="20"/>
              </w:rPr>
            </w:pPr>
          </w:p>
        </w:tc>
      </w:tr>
      <w:tr w:rsidR="004369B6" w:rsidRPr="00784CC6" w:rsidTr="00521DB4">
        <w:tc>
          <w:tcPr>
            <w:tcW w:w="2414" w:type="dxa"/>
          </w:tcPr>
          <w:p w:rsidR="004369B6" w:rsidRPr="00784CC6" w:rsidRDefault="004369B6">
            <w:pPr>
              <w:rPr>
                <w:b/>
                <w:sz w:val="20"/>
                <w:szCs w:val="20"/>
              </w:rPr>
            </w:pPr>
            <w:r w:rsidRPr="00784CC6">
              <w:rPr>
                <w:b/>
                <w:sz w:val="20"/>
                <w:szCs w:val="20"/>
              </w:rPr>
              <w:t>Telescope</w:t>
            </w:r>
          </w:p>
        </w:tc>
        <w:tc>
          <w:tcPr>
            <w:tcW w:w="2094" w:type="dxa"/>
          </w:tcPr>
          <w:p w:rsidR="004369B6" w:rsidRPr="00784CC6" w:rsidRDefault="004369B6">
            <w:pPr>
              <w:rPr>
                <w:sz w:val="20"/>
                <w:szCs w:val="20"/>
              </w:rPr>
            </w:pPr>
            <w:r w:rsidRPr="00784CC6">
              <w:rPr>
                <w:sz w:val="20"/>
                <w:szCs w:val="20"/>
              </w:rPr>
              <w:t>JWST</w:t>
            </w:r>
          </w:p>
        </w:tc>
        <w:tc>
          <w:tcPr>
            <w:tcW w:w="2297" w:type="dxa"/>
          </w:tcPr>
          <w:p w:rsidR="004369B6" w:rsidRPr="00784CC6" w:rsidRDefault="004369B6" w:rsidP="004369B6">
            <w:pPr>
              <w:rPr>
                <w:sz w:val="20"/>
                <w:szCs w:val="20"/>
              </w:rPr>
            </w:pPr>
            <w:r w:rsidRPr="00784CC6">
              <w:rPr>
                <w:sz w:val="20"/>
                <w:szCs w:val="20"/>
              </w:rPr>
              <w:t>Euclid</w:t>
            </w:r>
          </w:p>
        </w:tc>
        <w:tc>
          <w:tcPr>
            <w:tcW w:w="2086" w:type="dxa"/>
          </w:tcPr>
          <w:p w:rsidR="004369B6" w:rsidRPr="00784CC6" w:rsidRDefault="004369B6">
            <w:pPr>
              <w:rPr>
                <w:sz w:val="20"/>
                <w:szCs w:val="20"/>
              </w:rPr>
            </w:pPr>
            <w:r w:rsidRPr="00784CC6">
              <w:rPr>
                <w:sz w:val="20"/>
                <w:szCs w:val="20"/>
              </w:rPr>
              <w:t>JWST</w:t>
            </w:r>
          </w:p>
        </w:tc>
      </w:tr>
      <w:tr w:rsidR="00521DB4" w:rsidRPr="00784CC6" w:rsidTr="00521DB4">
        <w:tc>
          <w:tcPr>
            <w:tcW w:w="2414" w:type="dxa"/>
          </w:tcPr>
          <w:p w:rsidR="00521DB4" w:rsidRPr="00784CC6" w:rsidRDefault="00521DB4">
            <w:pPr>
              <w:rPr>
                <w:b/>
                <w:sz w:val="20"/>
                <w:szCs w:val="20"/>
              </w:rPr>
            </w:pPr>
            <w:r w:rsidRPr="00784CC6">
              <w:rPr>
                <w:b/>
                <w:sz w:val="20"/>
                <w:szCs w:val="20"/>
              </w:rPr>
              <w:t>Redshift range</w:t>
            </w:r>
          </w:p>
        </w:tc>
        <w:tc>
          <w:tcPr>
            <w:tcW w:w="2094" w:type="dxa"/>
          </w:tcPr>
          <w:p w:rsidR="00521DB4" w:rsidRPr="00784CC6" w:rsidRDefault="00521DB4">
            <w:pPr>
              <w:rPr>
                <w:sz w:val="20"/>
                <w:szCs w:val="20"/>
              </w:rPr>
            </w:pPr>
            <w:r w:rsidRPr="00784CC6">
              <w:rPr>
                <w:sz w:val="20"/>
                <w:szCs w:val="20"/>
              </w:rPr>
              <w:t>6-8.5</w:t>
            </w:r>
          </w:p>
        </w:tc>
        <w:tc>
          <w:tcPr>
            <w:tcW w:w="2297" w:type="dxa"/>
          </w:tcPr>
          <w:p w:rsidR="00521DB4" w:rsidRPr="00784CC6" w:rsidRDefault="00521DB4">
            <w:pPr>
              <w:rPr>
                <w:sz w:val="20"/>
                <w:szCs w:val="20"/>
              </w:rPr>
            </w:pPr>
            <w:r w:rsidRPr="00784CC6">
              <w:rPr>
                <w:sz w:val="20"/>
                <w:szCs w:val="20"/>
              </w:rPr>
              <w:t>8.5-10</w:t>
            </w:r>
          </w:p>
        </w:tc>
        <w:tc>
          <w:tcPr>
            <w:tcW w:w="2086" w:type="dxa"/>
          </w:tcPr>
          <w:p w:rsidR="00521DB4" w:rsidRPr="00784CC6" w:rsidRDefault="00521DB4">
            <w:pPr>
              <w:rPr>
                <w:sz w:val="20"/>
                <w:szCs w:val="20"/>
              </w:rPr>
            </w:pPr>
            <w:r w:rsidRPr="00784CC6">
              <w:rPr>
                <w:sz w:val="20"/>
                <w:szCs w:val="20"/>
              </w:rPr>
              <w:t>10-1</w:t>
            </w:r>
            <w:r w:rsidR="00DA4033">
              <w:rPr>
                <w:sz w:val="20"/>
                <w:szCs w:val="20"/>
              </w:rPr>
              <w:t>5</w:t>
            </w:r>
          </w:p>
        </w:tc>
      </w:tr>
      <w:tr w:rsidR="00521DB4" w:rsidRPr="00784CC6" w:rsidTr="00521DB4">
        <w:tc>
          <w:tcPr>
            <w:tcW w:w="2414" w:type="dxa"/>
          </w:tcPr>
          <w:p w:rsidR="00521DB4" w:rsidRPr="00784CC6" w:rsidRDefault="00521DB4">
            <w:pPr>
              <w:rPr>
                <w:b/>
                <w:sz w:val="20"/>
                <w:szCs w:val="20"/>
              </w:rPr>
            </w:pPr>
            <w:r w:rsidRPr="00784CC6">
              <w:rPr>
                <w:b/>
                <w:sz w:val="20"/>
                <w:szCs w:val="20"/>
              </w:rPr>
              <w:t>Magnitude depth</w:t>
            </w:r>
          </w:p>
        </w:tc>
        <w:tc>
          <w:tcPr>
            <w:tcW w:w="2094" w:type="dxa"/>
          </w:tcPr>
          <w:p w:rsidR="00521DB4" w:rsidRPr="00784CC6" w:rsidRDefault="00521DB4">
            <w:pPr>
              <w:rPr>
                <w:sz w:val="20"/>
                <w:szCs w:val="20"/>
              </w:rPr>
            </w:pPr>
            <w:r w:rsidRPr="00784CC6">
              <w:rPr>
                <w:sz w:val="20"/>
                <w:szCs w:val="20"/>
              </w:rPr>
              <w:t>30</w:t>
            </w:r>
          </w:p>
        </w:tc>
        <w:tc>
          <w:tcPr>
            <w:tcW w:w="2297" w:type="dxa"/>
          </w:tcPr>
          <w:p w:rsidR="00521DB4" w:rsidRPr="00784CC6" w:rsidRDefault="00521DB4">
            <w:pPr>
              <w:rPr>
                <w:sz w:val="20"/>
                <w:szCs w:val="20"/>
              </w:rPr>
            </w:pPr>
            <w:r w:rsidRPr="00784CC6">
              <w:rPr>
                <w:sz w:val="20"/>
                <w:szCs w:val="20"/>
              </w:rPr>
              <w:t>29.5</w:t>
            </w:r>
          </w:p>
        </w:tc>
        <w:tc>
          <w:tcPr>
            <w:tcW w:w="2086" w:type="dxa"/>
          </w:tcPr>
          <w:p w:rsidR="00521DB4" w:rsidRPr="00784CC6" w:rsidRDefault="00521DB4">
            <w:pPr>
              <w:rPr>
                <w:sz w:val="20"/>
                <w:szCs w:val="20"/>
              </w:rPr>
            </w:pPr>
            <w:r w:rsidRPr="00784CC6">
              <w:rPr>
                <w:sz w:val="20"/>
                <w:szCs w:val="20"/>
              </w:rPr>
              <w:t>31.65</w:t>
            </w:r>
          </w:p>
        </w:tc>
      </w:tr>
      <w:tr w:rsidR="00521DB4" w:rsidRPr="00784CC6" w:rsidTr="00521DB4">
        <w:tc>
          <w:tcPr>
            <w:tcW w:w="2414" w:type="dxa"/>
          </w:tcPr>
          <w:p w:rsidR="00521DB4" w:rsidRPr="00784CC6" w:rsidRDefault="00521DB4">
            <w:pPr>
              <w:rPr>
                <w:b/>
                <w:sz w:val="20"/>
                <w:szCs w:val="20"/>
              </w:rPr>
            </w:pPr>
            <w:r w:rsidRPr="00784CC6">
              <w:rPr>
                <w:b/>
                <w:sz w:val="20"/>
                <w:szCs w:val="20"/>
              </w:rPr>
              <w:t>Galaxies observed</w:t>
            </w:r>
          </w:p>
        </w:tc>
        <w:tc>
          <w:tcPr>
            <w:tcW w:w="2094" w:type="dxa"/>
          </w:tcPr>
          <w:p w:rsidR="00521DB4" w:rsidRPr="00784CC6" w:rsidRDefault="009B44EC">
            <w:pPr>
              <w:rPr>
                <w:sz w:val="20"/>
                <w:szCs w:val="20"/>
              </w:rPr>
            </w:pPr>
            <w:r w:rsidRPr="00784CC6">
              <w:rPr>
                <w:sz w:val="20"/>
                <w:szCs w:val="20"/>
              </w:rPr>
              <w:t>100.5±</w:t>
            </w:r>
            <w:r w:rsidRPr="00784CC6">
              <w:rPr>
                <w:noProof/>
                <w:sz w:val="20"/>
                <w:szCs w:val="20"/>
              </w:rPr>
              <w:t>37.0</w:t>
            </w:r>
          </w:p>
        </w:tc>
        <w:tc>
          <w:tcPr>
            <w:tcW w:w="2297" w:type="dxa"/>
          </w:tcPr>
          <w:p w:rsidR="00521DB4" w:rsidRPr="00784CC6" w:rsidRDefault="009B44EC">
            <w:pPr>
              <w:rPr>
                <w:sz w:val="20"/>
                <w:szCs w:val="20"/>
              </w:rPr>
            </w:pPr>
            <w:r w:rsidRPr="00784CC6">
              <w:rPr>
                <w:sz w:val="20"/>
                <w:szCs w:val="20"/>
              </w:rPr>
              <w:t>138.7±100.6</w:t>
            </w:r>
          </w:p>
        </w:tc>
        <w:tc>
          <w:tcPr>
            <w:tcW w:w="2086" w:type="dxa"/>
          </w:tcPr>
          <w:p w:rsidR="00521DB4" w:rsidRPr="00784CC6" w:rsidRDefault="00521DB4">
            <w:pPr>
              <w:rPr>
                <w:sz w:val="20"/>
                <w:szCs w:val="20"/>
              </w:rPr>
            </w:pPr>
            <w:r w:rsidRPr="00784CC6">
              <w:rPr>
                <w:sz w:val="20"/>
                <w:szCs w:val="20"/>
              </w:rPr>
              <w:t>358.1 ± 158.6</w:t>
            </w:r>
          </w:p>
        </w:tc>
      </w:tr>
      <w:tr w:rsidR="00521DB4" w:rsidRPr="00784CC6" w:rsidTr="00521DB4">
        <w:tc>
          <w:tcPr>
            <w:tcW w:w="2414" w:type="dxa"/>
          </w:tcPr>
          <w:p w:rsidR="00521DB4" w:rsidRPr="00784CC6" w:rsidRDefault="00521DB4">
            <w:pPr>
              <w:rPr>
                <w:b/>
                <w:sz w:val="20"/>
                <w:szCs w:val="20"/>
              </w:rPr>
            </w:pPr>
            <w:r w:rsidRPr="00784CC6">
              <w:rPr>
                <w:b/>
                <w:sz w:val="20"/>
                <w:szCs w:val="20"/>
              </w:rPr>
              <w:t>No. of filters</w:t>
            </w:r>
          </w:p>
        </w:tc>
        <w:tc>
          <w:tcPr>
            <w:tcW w:w="2094" w:type="dxa"/>
          </w:tcPr>
          <w:p w:rsidR="00521DB4" w:rsidRPr="00784CC6" w:rsidRDefault="00B245DA">
            <w:pPr>
              <w:rPr>
                <w:sz w:val="20"/>
                <w:szCs w:val="20"/>
              </w:rPr>
            </w:pPr>
            <w:r w:rsidRPr="00784CC6">
              <w:rPr>
                <w:sz w:val="20"/>
                <w:szCs w:val="20"/>
              </w:rPr>
              <w:t>4</w:t>
            </w:r>
          </w:p>
        </w:tc>
        <w:tc>
          <w:tcPr>
            <w:tcW w:w="2297" w:type="dxa"/>
          </w:tcPr>
          <w:p w:rsidR="00521DB4" w:rsidRPr="00784CC6" w:rsidRDefault="00521DB4">
            <w:pPr>
              <w:rPr>
                <w:sz w:val="20"/>
                <w:szCs w:val="20"/>
              </w:rPr>
            </w:pPr>
            <w:r w:rsidRPr="00784CC6">
              <w:rPr>
                <w:sz w:val="20"/>
                <w:szCs w:val="20"/>
              </w:rPr>
              <w:t>3</w:t>
            </w:r>
          </w:p>
        </w:tc>
        <w:tc>
          <w:tcPr>
            <w:tcW w:w="2086" w:type="dxa"/>
          </w:tcPr>
          <w:p w:rsidR="00521DB4" w:rsidRPr="00784CC6" w:rsidRDefault="00521DB4">
            <w:pPr>
              <w:rPr>
                <w:sz w:val="20"/>
                <w:szCs w:val="20"/>
              </w:rPr>
            </w:pPr>
            <w:r w:rsidRPr="00784CC6">
              <w:rPr>
                <w:sz w:val="20"/>
                <w:szCs w:val="20"/>
              </w:rPr>
              <w:t>4</w:t>
            </w:r>
          </w:p>
        </w:tc>
      </w:tr>
      <w:tr w:rsidR="00521DB4" w:rsidRPr="00784CC6" w:rsidTr="00521DB4">
        <w:tc>
          <w:tcPr>
            <w:tcW w:w="2414" w:type="dxa"/>
          </w:tcPr>
          <w:p w:rsidR="00521DB4" w:rsidRPr="00784CC6" w:rsidRDefault="00521DB4">
            <w:pPr>
              <w:rPr>
                <w:b/>
                <w:sz w:val="20"/>
                <w:szCs w:val="20"/>
              </w:rPr>
            </w:pPr>
            <w:r w:rsidRPr="00784CC6">
              <w:rPr>
                <w:b/>
                <w:sz w:val="20"/>
                <w:szCs w:val="20"/>
              </w:rPr>
              <w:t>No. of pointings</w:t>
            </w:r>
          </w:p>
        </w:tc>
        <w:tc>
          <w:tcPr>
            <w:tcW w:w="2094" w:type="dxa"/>
          </w:tcPr>
          <w:p w:rsidR="00521DB4" w:rsidRPr="00784CC6" w:rsidRDefault="009B44EC">
            <w:pPr>
              <w:rPr>
                <w:sz w:val="20"/>
                <w:szCs w:val="20"/>
              </w:rPr>
            </w:pPr>
            <w:r w:rsidRPr="00784CC6">
              <w:rPr>
                <w:sz w:val="20"/>
                <w:szCs w:val="20"/>
              </w:rPr>
              <w:t>15</w:t>
            </w:r>
          </w:p>
        </w:tc>
        <w:tc>
          <w:tcPr>
            <w:tcW w:w="2297" w:type="dxa"/>
          </w:tcPr>
          <w:p w:rsidR="00521DB4" w:rsidRPr="00784CC6" w:rsidRDefault="009B44EC">
            <w:pPr>
              <w:rPr>
                <w:sz w:val="20"/>
                <w:szCs w:val="20"/>
              </w:rPr>
            </w:pPr>
            <w:r w:rsidRPr="00784CC6">
              <w:rPr>
                <w:sz w:val="20"/>
                <w:szCs w:val="20"/>
              </w:rPr>
              <w:t>2</w:t>
            </w:r>
          </w:p>
        </w:tc>
        <w:tc>
          <w:tcPr>
            <w:tcW w:w="2086" w:type="dxa"/>
          </w:tcPr>
          <w:p w:rsidR="00521DB4" w:rsidRPr="00784CC6" w:rsidRDefault="00521DB4">
            <w:pPr>
              <w:rPr>
                <w:sz w:val="20"/>
                <w:szCs w:val="20"/>
              </w:rPr>
            </w:pPr>
            <w:r w:rsidRPr="00784CC6">
              <w:rPr>
                <w:sz w:val="20"/>
                <w:szCs w:val="20"/>
              </w:rPr>
              <w:t>10</w:t>
            </w:r>
          </w:p>
        </w:tc>
      </w:tr>
      <w:tr w:rsidR="00521DB4" w:rsidRPr="00784CC6" w:rsidTr="00521DB4">
        <w:tc>
          <w:tcPr>
            <w:tcW w:w="2414" w:type="dxa"/>
          </w:tcPr>
          <w:p w:rsidR="00521DB4" w:rsidRPr="00784CC6" w:rsidRDefault="00521DB4" w:rsidP="004369B6">
            <w:pPr>
              <w:rPr>
                <w:b/>
                <w:sz w:val="20"/>
                <w:szCs w:val="20"/>
              </w:rPr>
            </w:pPr>
            <w:r w:rsidRPr="00784CC6">
              <w:rPr>
                <w:b/>
                <w:sz w:val="20"/>
                <w:szCs w:val="20"/>
              </w:rPr>
              <w:t>Total observing time</w:t>
            </w:r>
          </w:p>
        </w:tc>
        <w:tc>
          <w:tcPr>
            <w:tcW w:w="2094" w:type="dxa"/>
          </w:tcPr>
          <w:p w:rsidR="00521DB4" w:rsidRPr="00784CC6" w:rsidRDefault="00B245DA">
            <w:pPr>
              <w:rPr>
                <w:sz w:val="20"/>
                <w:szCs w:val="20"/>
              </w:rPr>
            </w:pPr>
            <w:r w:rsidRPr="00784CC6">
              <w:rPr>
                <w:sz w:val="20"/>
                <w:szCs w:val="20"/>
              </w:rPr>
              <w:t>4</w:t>
            </w:r>
            <w:r w:rsidR="00996E01" w:rsidRPr="00784CC6">
              <w:rPr>
                <w:sz w:val="20"/>
                <w:szCs w:val="20"/>
              </w:rPr>
              <w:t>.0</w:t>
            </w:r>
            <w:r w:rsidR="009B44EC" w:rsidRPr="00784CC6">
              <w:rPr>
                <w:sz w:val="20"/>
                <w:szCs w:val="20"/>
              </w:rPr>
              <w:t>x10</w:t>
            </w:r>
            <w:r w:rsidR="009B44EC" w:rsidRPr="00784CC6">
              <w:rPr>
                <w:sz w:val="20"/>
                <w:szCs w:val="20"/>
                <w:vertAlign w:val="superscript"/>
              </w:rPr>
              <w:t>5</w:t>
            </w:r>
            <w:r w:rsidR="009B44EC" w:rsidRPr="00784CC6">
              <w:rPr>
                <w:sz w:val="20"/>
                <w:szCs w:val="20"/>
              </w:rPr>
              <w:t>s</w:t>
            </w:r>
          </w:p>
        </w:tc>
        <w:tc>
          <w:tcPr>
            <w:tcW w:w="2297" w:type="dxa"/>
          </w:tcPr>
          <w:p w:rsidR="00521DB4" w:rsidRPr="00784CC6" w:rsidRDefault="00996E01">
            <w:pPr>
              <w:rPr>
                <w:sz w:val="20"/>
                <w:szCs w:val="20"/>
              </w:rPr>
            </w:pPr>
            <w:r w:rsidRPr="00784CC6">
              <w:rPr>
                <w:sz w:val="20"/>
                <w:szCs w:val="20"/>
              </w:rPr>
              <w:t>6.0</w:t>
            </w:r>
            <w:r w:rsidR="009B44EC" w:rsidRPr="00784CC6">
              <w:rPr>
                <w:sz w:val="20"/>
                <w:szCs w:val="20"/>
              </w:rPr>
              <w:t>x10</w:t>
            </w:r>
            <w:r w:rsidR="009B44EC" w:rsidRPr="00784CC6">
              <w:rPr>
                <w:sz w:val="20"/>
                <w:szCs w:val="20"/>
                <w:vertAlign w:val="superscript"/>
              </w:rPr>
              <w:t>5</w:t>
            </w:r>
            <w:r w:rsidR="009B44EC" w:rsidRPr="00784CC6">
              <w:rPr>
                <w:sz w:val="20"/>
                <w:szCs w:val="20"/>
              </w:rPr>
              <w:t>s</w:t>
            </w:r>
          </w:p>
        </w:tc>
        <w:tc>
          <w:tcPr>
            <w:tcW w:w="2086" w:type="dxa"/>
          </w:tcPr>
          <w:p w:rsidR="00521DB4" w:rsidRPr="00784CC6" w:rsidRDefault="00996E01" w:rsidP="00444BBB">
            <w:pPr>
              <w:rPr>
                <w:sz w:val="20"/>
                <w:szCs w:val="20"/>
              </w:rPr>
            </w:pPr>
            <w:r w:rsidRPr="00784CC6">
              <w:rPr>
                <w:sz w:val="20"/>
                <w:szCs w:val="20"/>
              </w:rPr>
              <w:t>2.0</w:t>
            </w:r>
            <w:r w:rsidR="00521DB4" w:rsidRPr="00784CC6">
              <w:rPr>
                <w:sz w:val="20"/>
                <w:szCs w:val="20"/>
              </w:rPr>
              <w:t>x10</w:t>
            </w:r>
            <w:r w:rsidR="00521DB4" w:rsidRPr="00784CC6">
              <w:rPr>
                <w:sz w:val="20"/>
                <w:szCs w:val="20"/>
                <w:vertAlign w:val="superscript"/>
              </w:rPr>
              <w:t>6</w:t>
            </w:r>
            <w:r w:rsidR="00521DB4" w:rsidRPr="00784CC6">
              <w:rPr>
                <w:sz w:val="20"/>
                <w:szCs w:val="20"/>
              </w:rPr>
              <w:t xml:space="preserve"> s</w:t>
            </w:r>
          </w:p>
        </w:tc>
      </w:tr>
      <w:tr w:rsidR="00521DB4" w:rsidRPr="00784CC6" w:rsidTr="00521DB4">
        <w:tc>
          <w:tcPr>
            <w:tcW w:w="2414" w:type="dxa"/>
          </w:tcPr>
          <w:p w:rsidR="00521DB4" w:rsidRPr="00784CC6" w:rsidRDefault="00521DB4">
            <w:pPr>
              <w:rPr>
                <w:b/>
                <w:sz w:val="20"/>
                <w:szCs w:val="20"/>
              </w:rPr>
            </w:pPr>
            <w:r w:rsidRPr="00784CC6">
              <w:rPr>
                <w:b/>
                <w:sz w:val="20"/>
                <w:szCs w:val="20"/>
              </w:rPr>
              <w:t>Total days to complete</w:t>
            </w:r>
          </w:p>
        </w:tc>
        <w:tc>
          <w:tcPr>
            <w:tcW w:w="2094" w:type="dxa"/>
          </w:tcPr>
          <w:p w:rsidR="00521DB4" w:rsidRPr="00784CC6" w:rsidRDefault="00B245DA">
            <w:pPr>
              <w:rPr>
                <w:sz w:val="20"/>
                <w:szCs w:val="20"/>
              </w:rPr>
            </w:pPr>
            <w:r w:rsidRPr="00784CC6">
              <w:rPr>
                <w:sz w:val="20"/>
                <w:szCs w:val="20"/>
              </w:rPr>
              <w:t>6.79</w:t>
            </w:r>
          </w:p>
        </w:tc>
        <w:tc>
          <w:tcPr>
            <w:tcW w:w="2297" w:type="dxa"/>
          </w:tcPr>
          <w:p w:rsidR="00521DB4" w:rsidRPr="00784CC6" w:rsidRDefault="009B44EC">
            <w:pPr>
              <w:rPr>
                <w:sz w:val="20"/>
                <w:szCs w:val="20"/>
              </w:rPr>
            </w:pPr>
            <w:r w:rsidRPr="00784CC6">
              <w:rPr>
                <w:sz w:val="20"/>
                <w:szCs w:val="20"/>
              </w:rPr>
              <w:t>10</w:t>
            </w:r>
            <w:r w:rsidR="00996E01" w:rsidRPr="00784CC6">
              <w:rPr>
                <w:sz w:val="20"/>
                <w:szCs w:val="20"/>
              </w:rPr>
              <w:t>.18</w:t>
            </w:r>
          </w:p>
        </w:tc>
        <w:tc>
          <w:tcPr>
            <w:tcW w:w="2086" w:type="dxa"/>
          </w:tcPr>
          <w:p w:rsidR="00521DB4" w:rsidRPr="00784CC6" w:rsidRDefault="00996E01">
            <w:pPr>
              <w:rPr>
                <w:sz w:val="20"/>
                <w:szCs w:val="20"/>
              </w:rPr>
            </w:pPr>
            <w:r w:rsidRPr="00784CC6">
              <w:rPr>
                <w:sz w:val="20"/>
                <w:szCs w:val="20"/>
              </w:rPr>
              <w:t>33.95</w:t>
            </w:r>
          </w:p>
        </w:tc>
      </w:tr>
    </w:tbl>
    <w:p w:rsidR="00444BBB" w:rsidRPr="00784CC6" w:rsidRDefault="001A65AC" w:rsidP="001A65AC">
      <w:pPr>
        <w:rPr>
          <w:sz w:val="20"/>
          <w:szCs w:val="20"/>
        </w:rPr>
      </w:pPr>
      <w:r w:rsidRPr="00784CC6">
        <w:rPr>
          <w:sz w:val="20"/>
          <w:szCs w:val="20"/>
        </w:rPr>
        <w:t>Caption: data outlining the photometry survey.</w:t>
      </w:r>
    </w:p>
    <w:p w:rsidR="005A7318" w:rsidRPr="00784CC6" w:rsidRDefault="005A7318" w:rsidP="00343992">
      <w:pPr>
        <w:rPr>
          <w:sz w:val="20"/>
          <w:szCs w:val="20"/>
        </w:rPr>
      </w:pPr>
      <w:r w:rsidRPr="00784CC6">
        <w:rPr>
          <w:sz w:val="20"/>
          <w:szCs w:val="20"/>
        </w:rPr>
        <w:t>This strategy includes the use of known gravitational lenses to greatly increase the number of observed galaxies in the high redshift survey. The exposures will be dithered in each of the surveys and combined using DRIZZLE, see sect. [</w:t>
      </w:r>
      <w:proofErr w:type="gramStart"/>
      <w:r w:rsidRPr="00784CC6">
        <w:rPr>
          <w:sz w:val="20"/>
          <w:szCs w:val="20"/>
        </w:rPr>
        <w:t>dithering</w:t>
      </w:r>
      <w:proofErr w:type="gramEnd"/>
      <w:r w:rsidRPr="00784CC6">
        <w:rPr>
          <w:sz w:val="20"/>
          <w:szCs w:val="20"/>
        </w:rPr>
        <w:t xml:space="preserve">], this will help reduce a number of the errors. The largest error in the photometry surveys is dominated by the cosmic variance of the samples. Where possible the surveys have been spread over more pointings, in order to reduce this, unless it noticeably increased the time or reduced the number of galaxies observed. </w:t>
      </w:r>
      <w:r w:rsidR="005832E0" w:rsidRPr="00784CC6">
        <w:rPr>
          <w:sz w:val="20"/>
          <w:szCs w:val="20"/>
        </w:rPr>
        <w:t xml:space="preserve">The candidates will be selected and the contaminants removed based on criteria, such as colour, outlined in section [contaminants]. </w:t>
      </w:r>
    </w:p>
    <w:p w:rsidR="005A7318" w:rsidRPr="00784CC6" w:rsidRDefault="005A7318" w:rsidP="005A7318">
      <w:pPr>
        <w:rPr>
          <w:b/>
          <w:bCs/>
          <w:sz w:val="20"/>
          <w:szCs w:val="20"/>
        </w:rPr>
      </w:pPr>
      <w:r w:rsidRPr="00784CC6">
        <w:rPr>
          <w:b/>
          <w:bCs/>
          <w:sz w:val="20"/>
          <w:szCs w:val="20"/>
        </w:rPr>
        <w:t>Phase 2: Spectroscopy</w:t>
      </w:r>
    </w:p>
    <w:p w:rsidR="005A7318" w:rsidRPr="00784CC6" w:rsidRDefault="005A7318" w:rsidP="005A7318">
      <w:pPr>
        <w:rPr>
          <w:sz w:val="20"/>
          <w:szCs w:val="20"/>
        </w:rPr>
      </w:pPr>
      <w:proofErr w:type="gramStart"/>
      <w:r w:rsidRPr="00784CC6">
        <w:rPr>
          <w:sz w:val="20"/>
          <w:szCs w:val="20"/>
        </w:rPr>
        <w:t>Table[</w:t>
      </w:r>
      <w:proofErr w:type="gramEnd"/>
      <w:r w:rsidRPr="00784CC6">
        <w:rPr>
          <w:sz w:val="20"/>
          <w:szCs w:val="20"/>
        </w:rPr>
        <w:t xml:space="preserve">] outlines the second phase of the strategy; spectroscopy. </w:t>
      </w:r>
    </w:p>
    <w:tbl>
      <w:tblPr>
        <w:tblStyle w:val="TableGrid"/>
        <w:tblW w:w="0" w:type="auto"/>
        <w:tblLook w:val="04A0"/>
      </w:tblPr>
      <w:tblGrid>
        <w:gridCol w:w="2414"/>
        <w:gridCol w:w="2094"/>
        <w:gridCol w:w="2297"/>
        <w:gridCol w:w="2086"/>
      </w:tblGrid>
      <w:tr w:rsidR="000069CA" w:rsidRPr="00784CC6" w:rsidTr="00AF1F1B">
        <w:tc>
          <w:tcPr>
            <w:tcW w:w="2414" w:type="dxa"/>
          </w:tcPr>
          <w:p w:rsidR="000069CA" w:rsidRPr="00784CC6" w:rsidRDefault="000069CA" w:rsidP="00AF1F1B">
            <w:pPr>
              <w:rPr>
                <w:b/>
                <w:sz w:val="20"/>
                <w:szCs w:val="20"/>
              </w:rPr>
            </w:pPr>
          </w:p>
        </w:tc>
        <w:tc>
          <w:tcPr>
            <w:tcW w:w="2094" w:type="dxa"/>
          </w:tcPr>
          <w:p w:rsidR="000069CA" w:rsidRPr="00784CC6" w:rsidRDefault="000069CA" w:rsidP="009C07F0">
            <w:pPr>
              <w:rPr>
                <w:b/>
                <w:sz w:val="20"/>
                <w:szCs w:val="20"/>
              </w:rPr>
            </w:pPr>
            <w:r w:rsidRPr="00784CC6">
              <w:rPr>
                <w:b/>
                <w:sz w:val="20"/>
                <w:szCs w:val="20"/>
              </w:rPr>
              <w:t>Low Redshift Spectroscopy</w:t>
            </w:r>
          </w:p>
        </w:tc>
        <w:tc>
          <w:tcPr>
            <w:tcW w:w="2297" w:type="dxa"/>
          </w:tcPr>
          <w:p w:rsidR="000069CA" w:rsidRPr="00784CC6" w:rsidRDefault="000069CA" w:rsidP="009C07F0">
            <w:pPr>
              <w:rPr>
                <w:b/>
                <w:sz w:val="20"/>
                <w:szCs w:val="20"/>
              </w:rPr>
            </w:pPr>
            <w:r w:rsidRPr="00784CC6">
              <w:rPr>
                <w:b/>
                <w:sz w:val="20"/>
                <w:szCs w:val="20"/>
              </w:rPr>
              <w:t>Intermediate redshift Spectroscopy</w:t>
            </w:r>
          </w:p>
        </w:tc>
        <w:tc>
          <w:tcPr>
            <w:tcW w:w="2086" w:type="dxa"/>
          </w:tcPr>
          <w:p w:rsidR="000069CA" w:rsidRPr="00784CC6" w:rsidRDefault="000069CA" w:rsidP="009C07F0">
            <w:pPr>
              <w:rPr>
                <w:b/>
                <w:sz w:val="20"/>
                <w:szCs w:val="20"/>
              </w:rPr>
            </w:pPr>
            <w:r w:rsidRPr="00784CC6">
              <w:rPr>
                <w:b/>
                <w:sz w:val="20"/>
                <w:szCs w:val="20"/>
              </w:rPr>
              <w:t>High redshift Spectroscopy</w:t>
            </w:r>
          </w:p>
        </w:tc>
      </w:tr>
      <w:tr w:rsidR="000069CA" w:rsidRPr="00784CC6" w:rsidTr="00AF1F1B">
        <w:tc>
          <w:tcPr>
            <w:tcW w:w="2414" w:type="dxa"/>
          </w:tcPr>
          <w:p w:rsidR="000069CA" w:rsidRPr="00784CC6" w:rsidRDefault="000069CA" w:rsidP="00AF1F1B">
            <w:pPr>
              <w:rPr>
                <w:b/>
                <w:sz w:val="20"/>
                <w:szCs w:val="20"/>
              </w:rPr>
            </w:pPr>
            <w:r w:rsidRPr="00784CC6">
              <w:rPr>
                <w:b/>
                <w:sz w:val="20"/>
                <w:szCs w:val="20"/>
              </w:rPr>
              <w:t>Telescope</w:t>
            </w:r>
          </w:p>
        </w:tc>
        <w:tc>
          <w:tcPr>
            <w:tcW w:w="2094" w:type="dxa"/>
          </w:tcPr>
          <w:p w:rsidR="000069CA" w:rsidRPr="00784CC6" w:rsidRDefault="00986B1C" w:rsidP="00986B1C">
            <w:pPr>
              <w:rPr>
                <w:bCs/>
                <w:sz w:val="20"/>
                <w:szCs w:val="20"/>
              </w:rPr>
            </w:pPr>
            <w:r w:rsidRPr="00784CC6">
              <w:rPr>
                <w:bCs/>
                <w:sz w:val="20"/>
                <w:szCs w:val="20"/>
              </w:rPr>
              <w:t>JWST</w:t>
            </w:r>
          </w:p>
        </w:tc>
        <w:tc>
          <w:tcPr>
            <w:tcW w:w="2297" w:type="dxa"/>
          </w:tcPr>
          <w:p w:rsidR="000069CA" w:rsidRPr="00784CC6" w:rsidRDefault="000069CA" w:rsidP="000069CA">
            <w:pPr>
              <w:rPr>
                <w:bCs/>
                <w:sz w:val="20"/>
                <w:szCs w:val="20"/>
              </w:rPr>
            </w:pPr>
            <w:r w:rsidRPr="00784CC6">
              <w:rPr>
                <w:bCs/>
                <w:sz w:val="20"/>
                <w:szCs w:val="20"/>
              </w:rPr>
              <w:t>JWST</w:t>
            </w:r>
          </w:p>
        </w:tc>
        <w:tc>
          <w:tcPr>
            <w:tcW w:w="2086" w:type="dxa"/>
          </w:tcPr>
          <w:p w:rsidR="000069CA" w:rsidRPr="00784CC6" w:rsidRDefault="000069CA" w:rsidP="000069CA">
            <w:pPr>
              <w:rPr>
                <w:bCs/>
                <w:sz w:val="20"/>
                <w:szCs w:val="20"/>
              </w:rPr>
            </w:pPr>
            <w:r w:rsidRPr="00784CC6">
              <w:rPr>
                <w:bCs/>
                <w:sz w:val="20"/>
                <w:szCs w:val="20"/>
              </w:rPr>
              <w:t>JWST</w:t>
            </w:r>
          </w:p>
        </w:tc>
      </w:tr>
      <w:tr w:rsidR="000069CA" w:rsidRPr="00784CC6" w:rsidTr="00AF1F1B">
        <w:tc>
          <w:tcPr>
            <w:tcW w:w="2414" w:type="dxa"/>
          </w:tcPr>
          <w:p w:rsidR="000069CA" w:rsidRPr="00784CC6" w:rsidRDefault="000069CA" w:rsidP="00AF1F1B">
            <w:pPr>
              <w:rPr>
                <w:b/>
                <w:sz w:val="20"/>
                <w:szCs w:val="20"/>
              </w:rPr>
            </w:pPr>
            <w:r w:rsidRPr="00784CC6">
              <w:rPr>
                <w:b/>
                <w:sz w:val="20"/>
                <w:szCs w:val="20"/>
              </w:rPr>
              <w:t>Galaxies confirmed</w:t>
            </w:r>
          </w:p>
        </w:tc>
        <w:tc>
          <w:tcPr>
            <w:tcW w:w="2094" w:type="dxa"/>
          </w:tcPr>
          <w:p w:rsidR="000069CA" w:rsidRPr="00784CC6" w:rsidRDefault="00986B1C" w:rsidP="000069CA">
            <w:pPr>
              <w:rPr>
                <w:bCs/>
                <w:sz w:val="20"/>
                <w:szCs w:val="20"/>
              </w:rPr>
            </w:pPr>
            <w:r w:rsidRPr="00784CC6">
              <w:rPr>
                <w:bCs/>
                <w:sz w:val="20"/>
                <w:szCs w:val="20"/>
              </w:rPr>
              <w:t>24</w:t>
            </w:r>
          </w:p>
        </w:tc>
        <w:tc>
          <w:tcPr>
            <w:tcW w:w="2297" w:type="dxa"/>
          </w:tcPr>
          <w:p w:rsidR="000069CA" w:rsidRPr="00784CC6" w:rsidRDefault="00986B1C" w:rsidP="000069CA">
            <w:pPr>
              <w:rPr>
                <w:bCs/>
                <w:sz w:val="20"/>
                <w:szCs w:val="20"/>
              </w:rPr>
            </w:pPr>
            <w:r w:rsidRPr="00784CC6">
              <w:rPr>
                <w:bCs/>
                <w:sz w:val="20"/>
                <w:szCs w:val="20"/>
              </w:rPr>
              <w:t>4</w:t>
            </w:r>
          </w:p>
        </w:tc>
        <w:tc>
          <w:tcPr>
            <w:tcW w:w="2086" w:type="dxa"/>
          </w:tcPr>
          <w:p w:rsidR="000069CA" w:rsidRPr="00784CC6" w:rsidRDefault="00AF7283" w:rsidP="00AF7283">
            <w:pPr>
              <w:rPr>
                <w:bCs/>
                <w:sz w:val="20"/>
                <w:szCs w:val="20"/>
              </w:rPr>
            </w:pPr>
            <w:r w:rsidRPr="00784CC6">
              <w:rPr>
                <w:bCs/>
                <w:sz w:val="20"/>
                <w:szCs w:val="20"/>
              </w:rPr>
              <w:t>48</w:t>
            </w:r>
          </w:p>
        </w:tc>
      </w:tr>
      <w:tr w:rsidR="000069CA" w:rsidRPr="00784CC6" w:rsidTr="00AF1F1B">
        <w:tc>
          <w:tcPr>
            <w:tcW w:w="2414" w:type="dxa"/>
          </w:tcPr>
          <w:p w:rsidR="000069CA" w:rsidRPr="00784CC6" w:rsidRDefault="00E15A76" w:rsidP="00AF1F1B">
            <w:pPr>
              <w:rPr>
                <w:b/>
                <w:sz w:val="20"/>
                <w:szCs w:val="20"/>
              </w:rPr>
            </w:pPr>
            <w:r w:rsidRPr="00784CC6">
              <w:rPr>
                <w:b/>
                <w:sz w:val="20"/>
                <w:szCs w:val="20"/>
              </w:rPr>
              <w:t>No. of pointings</w:t>
            </w:r>
          </w:p>
        </w:tc>
        <w:tc>
          <w:tcPr>
            <w:tcW w:w="2094" w:type="dxa"/>
          </w:tcPr>
          <w:p w:rsidR="000069CA" w:rsidRPr="00784CC6" w:rsidRDefault="00986B1C" w:rsidP="000069CA">
            <w:pPr>
              <w:rPr>
                <w:bCs/>
                <w:sz w:val="20"/>
                <w:szCs w:val="20"/>
              </w:rPr>
            </w:pPr>
            <w:r w:rsidRPr="00784CC6">
              <w:rPr>
                <w:bCs/>
                <w:sz w:val="20"/>
                <w:szCs w:val="20"/>
              </w:rPr>
              <w:t>4</w:t>
            </w:r>
          </w:p>
        </w:tc>
        <w:tc>
          <w:tcPr>
            <w:tcW w:w="2297" w:type="dxa"/>
          </w:tcPr>
          <w:p w:rsidR="000069CA" w:rsidRPr="00784CC6" w:rsidRDefault="00986B1C" w:rsidP="000069CA">
            <w:pPr>
              <w:rPr>
                <w:bCs/>
                <w:sz w:val="20"/>
                <w:szCs w:val="20"/>
              </w:rPr>
            </w:pPr>
            <w:r w:rsidRPr="00784CC6">
              <w:rPr>
                <w:bCs/>
                <w:sz w:val="20"/>
                <w:szCs w:val="20"/>
              </w:rPr>
              <w:t>4</w:t>
            </w:r>
          </w:p>
        </w:tc>
        <w:tc>
          <w:tcPr>
            <w:tcW w:w="2086" w:type="dxa"/>
          </w:tcPr>
          <w:p w:rsidR="000069CA" w:rsidRPr="00784CC6" w:rsidRDefault="00986B1C" w:rsidP="000069CA">
            <w:pPr>
              <w:rPr>
                <w:bCs/>
                <w:sz w:val="20"/>
                <w:szCs w:val="20"/>
              </w:rPr>
            </w:pPr>
            <w:r w:rsidRPr="00784CC6">
              <w:rPr>
                <w:bCs/>
                <w:sz w:val="20"/>
                <w:szCs w:val="20"/>
              </w:rPr>
              <w:t>2</w:t>
            </w:r>
          </w:p>
        </w:tc>
      </w:tr>
      <w:tr w:rsidR="00E15A76" w:rsidRPr="00784CC6" w:rsidTr="00AF1F1B">
        <w:tc>
          <w:tcPr>
            <w:tcW w:w="2414" w:type="dxa"/>
          </w:tcPr>
          <w:p w:rsidR="00E15A76" w:rsidRPr="00784CC6" w:rsidRDefault="00E15A76" w:rsidP="004E0001">
            <w:pPr>
              <w:rPr>
                <w:b/>
                <w:sz w:val="20"/>
                <w:szCs w:val="20"/>
              </w:rPr>
            </w:pPr>
            <w:r w:rsidRPr="00784CC6">
              <w:rPr>
                <w:b/>
                <w:sz w:val="20"/>
                <w:szCs w:val="20"/>
              </w:rPr>
              <w:t>Total observing time</w:t>
            </w:r>
          </w:p>
        </w:tc>
        <w:tc>
          <w:tcPr>
            <w:tcW w:w="2094" w:type="dxa"/>
          </w:tcPr>
          <w:p w:rsidR="00E15A76" w:rsidRPr="00784CC6" w:rsidRDefault="00986B1C" w:rsidP="000069CA">
            <w:pPr>
              <w:rPr>
                <w:bCs/>
                <w:sz w:val="20"/>
                <w:szCs w:val="20"/>
              </w:rPr>
            </w:pPr>
            <w:r w:rsidRPr="00784CC6">
              <w:rPr>
                <w:bCs/>
                <w:sz w:val="20"/>
                <w:szCs w:val="20"/>
              </w:rPr>
              <w:t>2.4x10</w:t>
            </w:r>
            <w:r w:rsidRPr="00784CC6">
              <w:rPr>
                <w:bCs/>
                <w:sz w:val="20"/>
                <w:szCs w:val="20"/>
                <w:vertAlign w:val="superscript"/>
              </w:rPr>
              <w:t>5</w:t>
            </w:r>
            <w:r w:rsidRPr="00784CC6">
              <w:rPr>
                <w:bCs/>
                <w:sz w:val="20"/>
                <w:szCs w:val="20"/>
              </w:rPr>
              <w:t>s</w:t>
            </w:r>
          </w:p>
        </w:tc>
        <w:tc>
          <w:tcPr>
            <w:tcW w:w="2297" w:type="dxa"/>
          </w:tcPr>
          <w:p w:rsidR="00E15A76" w:rsidRPr="00784CC6" w:rsidRDefault="00986B1C" w:rsidP="000069CA">
            <w:pPr>
              <w:rPr>
                <w:bCs/>
                <w:sz w:val="20"/>
                <w:szCs w:val="20"/>
              </w:rPr>
            </w:pPr>
            <w:r w:rsidRPr="00784CC6">
              <w:rPr>
                <w:bCs/>
                <w:sz w:val="20"/>
                <w:szCs w:val="20"/>
              </w:rPr>
              <w:t>2.72x10</w:t>
            </w:r>
            <w:r w:rsidRPr="00784CC6">
              <w:rPr>
                <w:bCs/>
                <w:sz w:val="20"/>
                <w:szCs w:val="20"/>
                <w:vertAlign w:val="superscript"/>
              </w:rPr>
              <w:t>5</w:t>
            </w:r>
            <w:r w:rsidRPr="00784CC6">
              <w:rPr>
                <w:bCs/>
                <w:sz w:val="20"/>
                <w:szCs w:val="20"/>
              </w:rPr>
              <w:t>s</w:t>
            </w:r>
          </w:p>
        </w:tc>
        <w:tc>
          <w:tcPr>
            <w:tcW w:w="2086" w:type="dxa"/>
          </w:tcPr>
          <w:p w:rsidR="00E15A76" w:rsidRPr="00784CC6" w:rsidRDefault="00986B1C" w:rsidP="000069CA">
            <w:pPr>
              <w:rPr>
                <w:bCs/>
                <w:sz w:val="20"/>
                <w:szCs w:val="20"/>
              </w:rPr>
            </w:pPr>
            <w:r w:rsidRPr="00784CC6">
              <w:rPr>
                <w:bCs/>
                <w:sz w:val="20"/>
                <w:szCs w:val="20"/>
              </w:rPr>
              <w:t>1.25x10</w:t>
            </w:r>
            <w:r w:rsidRPr="00784CC6">
              <w:rPr>
                <w:bCs/>
                <w:sz w:val="20"/>
                <w:szCs w:val="20"/>
                <w:vertAlign w:val="superscript"/>
              </w:rPr>
              <w:t>6</w:t>
            </w:r>
            <w:r w:rsidRPr="00784CC6">
              <w:rPr>
                <w:bCs/>
                <w:sz w:val="20"/>
                <w:szCs w:val="20"/>
              </w:rPr>
              <w:t>s</w:t>
            </w:r>
          </w:p>
        </w:tc>
      </w:tr>
      <w:tr w:rsidR="00E15A76" w:rsidRPr="00784CC6" w:rsidTr="00AF1F1B">
        <w:tc>
          <w:tcPr>
            <w:tcW w:w="2414" w:type="dxa"/>
          </w:tcPr>
          <w:p w:rsidR="00E15A76" w:rsidRPr="00784CC6" w:rsidRDefault="00E15A76" w:rsidP="004E0001">
            <w:pPr>
              <w:rPr>
                <w:b/>
                <w:sz w:val="20"/>
                <w:szCs w:val="20"/>
              </w:rPr>
            </w:pPr>
            <w:r w:rsidRPr="00784CC6">
              <w:rPr>
                <w:b/>
                <w:sz w:val="20"/>
                <w:szCs w:val="20"/>
              </w:rPr>
              <w:t>Total days to complete</w:t>
            </w:r>
          </w:p>
        </w:tc>
        <w:tc>
          <w:tcPr>
            <w:tcW w:w="2094" w:type="dxa"/>
          </w:tcPr>
          <w:p w:rsidR="00E15A76" w:rsidRPr="00784CC6" w:rsidRDefault="00986B1C" w:rsidP="000069CA">
            <w:pPr>
              <w:rPr>
                <w:bCs/>
                <w:sz w:val="20"/>
                <w:szCs w:val="20"/>
              </w:rPr>
            </w:pPr>
            <w:r w:rsidRPr="00784CC6">
              <w:rPr>
                <w:bCs/>
                <w:sz w:val="20"/>
                <w:szCs w:val="20"/>
              </w:rPr>
              <w:t>4.07</w:t>
            </w:r>
          </w:p>
        </w:tc>
        <w:tc>
          <w:tcPr>
            <w:tcW w:w="2297" w:type="dxa"/>
          </w:tcPr>
          <w:p w:rsidR="00E15A76" w:rsidRPr="00784CC6" w:rsidRDefault="00986B1C" w:rsidP="000069CA">
            <w:pPr>
              <w:rPr>
                <w:bCs/>
                <w:sz w:val="20"/>
                <w:szCs w:val="20"/>
              </w:rPr>
            </w:pPr>
            <w:r w:rsidRPr="00784CC6">
              <w:rPr>
                <w:bCs/>
                <w:sz w:val="20"/>
                <w:szCs w:val="20"/>
              </w:rPr>
              <w:t>4.62</w:t>
            </w:r>
          </w:p>
        </w:tc>
        <w:tc>
          <w:tcPr>
            <w:tcW w:w="2086" w:type="dxa"/>
          </w:tcPr>
          <w:p w:rsidR="00E15A76" w:rsidRPr="00784CC6" w:rsidRDefault="00986B1C" w:rsidP="000069CA">
            <w:pPr>
              <w:rPr>
                <w:bCs/>
                <w:sz w:val="20"/>
                <w:szCs w:val="20"/>
              </w:rPr>
            </w:pPr>
            <w:r w:rsidRPr="00784CC6">
              <w:rPr>
                <w:bCs/>
                <w:sz w:val="20"/>
                <w:szCs w:val="20"/>
              </w:rPr>
              <w:t>21.18</w:t>
            </w:r>
          </w:p>
        </w:tc>
      </w:tr>
    </w:tbl>
    <w:p w:rsidR="000069CA" w:rsidRPr="00784CC6" w:rsidRDefault="001A65AC" w:rsidP="001A65AC">
      <w:pPr>
        <w:rPr>
          <w:sz w:val="20"/>
          <w:szCs w:val="20"/>
        </w:rPr>
      </w:pPr>
      <w:r w:rsidRPr="00784CC6">
        <w:rPr>
          <w:sz w:val="20"/>
          <w:szCs w:val="20"/>
        </w:rPr>
        <w:t>Caption: data outlining the spectroscopy survey.</w:t>
      </w:r>
    </w:p>
    <w:p w:rsidR="00C50247" w:rsidRPr="00784CC6" w:rsidRDefault="00C50247" w:rsidP="005A7318">
      <w:pPr>
        <w:rPr>
          <w:sz w:val="20"/>
          <w:szCs w:val="20"/>
        </w:rPr>
      </w:pPr>
      <w:r w:rsidRPr="00784CC6">
        <w:rPr>
          <w:sz w:val="20"/>
          <w:szCs w:val="20"/>
        </w:rPr>
        <w:t xml:space="preserve">The low and high redshift </w:t>
      </w:r>
      <w:r w:rsidR="005A7318" w:rsidRPr="00784CC6">
        <w:rPr>
          <w:sz w:val="20"/>
          <w:szCs w:val="20"/>
        </w:rPr>
        <w:t xml:space="preserve">spectroscopy </w:t>
      </w:r>
      <w:r w:rsidRPr="00784CC6">
        <w:rPr>
          <w:sz w:val="20"/>
          <w:szCs w:val="20"/>
        </w:rPr>
        <w:t xml:space="preserve">surveys will be performed </w:t>
      </w:r>
      <w:r w:rsidR="005A7318" w:rsidRPr="00784CC6">
        <w:rPr>
          <w:sz w:val="20"/>
          <w:szCs w:val="20"/>
        </w:rPr>
        <w:t xml:space="preserve">using the multi-slit </w:t>
      </w:r>
      <w:r w:rsidR="00834CCA" w:rsidRPr="00784CC6">
        <w:rPr>
          <w:sz w:val="20"/>
          <w:szCs w:val="20"/>
        </w:rPr>
        <w:t xml:space="preserve">feature of JWST’s </w:t>
      </w:r>
      <w:proofErr w:type="spellStart"/>
      <w:r w:rsidR="00834CCA" w:rsidRPr="00784CC6">
        <w:rPr>
          <w:sz w:val="20"/>
          <w:szCs w:val="20"/>
        </w:rPr>
        <w:t>NIRSpec</w:t>
      </w:r>
      <w:proofErr w:type="spellEnd"/>
      <w:r w:rsidR="00834CCA" w:rsidRPr="00784CC6">
        <w:rPr>
          <w:sz w:val="20"/>
          <w:szCs w:val="20"/>
        </w:rPr>
        <w:t>. This allows for the spectrum of many galaxies to be taken at once, greatly reducing the exposure time. The intermediate re</w:t>
      </w:r>
      <w:r w:rsidR="00B20139" w:rsidRPr="00784CC6">
        <w:rPr>
          <w:sz w:val="20"/>
          <w:szCs w:val="20"/>
        </w:rPr>
        <w:t>d</w:t>
      </w:r>
      <w:r w:rsidR="00834CCA" w:rsidRPr="00784CC6">
        <w:rPr>
          <w:sz w:val="20"/>
          <w:szCs w:val="20"/>
        </w:rPr>
        <w:t xml:space="preserve">shift survey will be carried out using standard spectroscopy by JWST’s </w:t>
      </w:r>
      <w:proofErr w:type="spellStart"/>
      <w:r w:rsidR="00834CCA" w:rsidRPr="00784CC6">
        <w:rPr>
          <w:sz w:val="20"/>
          <w:szCs w:val="20"/>
        </w:rPr>
        <w:t>NIRSpec</w:t>
      </w:r>
      <w:proofErr w:type="spellEnd"/>
      <w:r w:rsidR="00834CCA" w:rsidRPr="00784CC6">
        <w:rPr>
          <w:sz w:val="20"/>
          <w:szCs w:val="20"/>
        </w:rPr>
        <w:t>. This approach is d</w:t>
      </w:r>
      <w:r w:rsidRPr="00784CC6">
        <w:rPr>
          <w:sz w:val="20"/>
          <w:szCs w:val="20"/>
        </w:rPr>
        <w:t xml:space="preserve">ue to Euclid’s FOV being much greater </w:t>
      </w:r>
      <w:r w:rsidR="00834CCA" w:rsidRPr="00784CC6">
        <w:rPr>
          <w:sz w:val="20"/>
          <w:szCs w:val="20"/>
        </w:rPr>
        <w:t>than JWST</w:t>
      </w:r>
      <w:r w:rsidRPr="00784CC6">
        <w:rPr>
          <w:sz w:val="20"/>
          <w:szCs w:val="20"/>
        </w:rPr>
        <w:t xml:space="preserve"> </w:t>
      </w:r>
      <w:r w:rsidR="00834CCA" w:rsidRPr="00784CC6">
        <w:rPr>
          <w:sz w:val="20"/>
          <w:szCs w:val="20"/>
        </w:rPr>
        <w:t xml:space="preserve">and there not being enough galaxies per </w:t>
      </w:r>
      <w:proofErr w:type="spellStart"/>
      <w:r w:rsidR="00834CCA" w:rsidRPr="00784CC6">
        <w:rPr>
          <w:sz w:val="20"/>
          <w:szCs w:val="20"/>
        </w:rPr>
        <w:t>FoV</w:t>
      </w:r>
      <w:proofErr w:type="spellEnd"/>
      <w:r w:rsidR="00834CCA" w:rsidRPr="00784CC6">
        <w:rPr>
          <w:sz w:val="20"/>
          <w:szCs w:val="20"/>
        </w:rPr>
        <w:t xml:space="preserve"> to make it time efficient. </w:t>
      </w:r>
      <w:r w:rsidR="00890395" w:rsidRPr="00784CC6">
        <w:rPr>
          <w:sz w:val="20"/>
          <w:szCs w:val="20"/>
        </w:rPr>
        <w:t>The galaxies selected for spectroscopic study in the high redshift survey are located in the</w:t>
      </w:r>
      <w:r w:rsidR="00AF7283" w:rsidRPr="00784CC6">
        <w:rPr>
          <w:sz w:val="20"/>
          <w:szCs w:val="20"/>
        </w:rPr>
        <w:t xml:space="preserve"> 2</w:t>
      </w:r>
      <w:r w:rsidR="00890395" w:rsidRPr="00784CC6">
        <w:rPr>
          <w:sz w:val="20"/>
          <w:szCs w:val="20"/>
        </w:rPr>
        <w:t xml:space="preserve"> most powerful of the gravitational lenses. This will be done with a reduced magnitude limit</w:t>
      </w:r>
      <w:r w:rsidR="005A7318" w:rsidRPr="00784CC6">
        <w:rPr>
          <w:sz w:val="20"/>
          <w:szCs w:val="20"/>
        </w:rPr>
        <w:t>, 30.5,</w:t>
      </w:r>
      <w:r w:rsidR="00890395" w:rsidRPr="00784CC6">
        <w:rPr>
          <w:sz w:val="20"/>
          <w:szCs w:val="20"/>
        </w:rPr>
        <w:t xml:space="preserve"> from </w:t>
      </w:r>
      <w:r w:rsidR="00890395" w:rsidRPr="00784CC6">
        <w:rPr>
          <w:sz w:val="20"/>
          <w:szCs w:val="20"/>
        </w:rPr>
        <w:lastRenderedPageBreak/>
        <w:t xml:space="preserve">the same photometric </w:t>
      </w:r>
      <w:proofErr w:type="spellStart"/>
      <w:r w:rsidR="00890395" w:rsidRPr="00784CC6">
        <w:rPr>
          <w:sz w:val="20"/>
          <w:szCs w:val="20"/>
        </w:rPr>
        <w:t>FoV</w:t>
      </w:r>
      <w:proofErr w:type="spellEnd"/>
      <w:r w:rsidR="00890395" w:rsidRPr="00784CC6">
        <w:rPr>
          <w:sz w:val="20"/>
          <w:szCs w:val="20"/>
        </w:rPr>
        <w:t xml:space="preserve"> in order to reduce the time required to observe.</w:t>
      </w:r>
      <w:r w:rsidR="00626F00" w:rsidRPr="00784CC6">
        <w:rPr>
          <w:sz w:val="20"/>
          <w:szCs w:val="20"/>
        </w:rPr>
        <w:t xml:space="preserve"> </w:t>
      </w:r>
      <w:r w:rsidR="00343992">
        <w:rPr>
          <w:sz w:val="20"/>
          <w:szCs w:val="20"/>
        </w:rPr>
        <w:t>Using the observations taken t</w:t>
      </w:r>
      <w:r w:rsidR="00343992" w:rsidRPr="00784CC6">
        <w:rPr>
          <w:sz w:val="20"/>
          <w:szCs w:val="20"/>
        </w:rPr>
        <w:t xml:space="preserve">he neutral hydrogen fraction will be studied by </w:t>
      </w:r>
      <w:r w:rsidR="00343992">
        <w:rPr>
          <w:sz w:val="20"/>
          <w:szCs w:val="20"/>
        </w:rPr>
        <w:t>a calculation of optical depth between the galaxy and our location.</w:t>
      </w:r>
    </w:p>
    <w:p w:rsidR="005A7318" w:rsidRPr="00784CC6" w:rsidRDefault="005A7318" w:rsidP="005A7318">
      <w:pPr>
        <w:rPr>
          <w:b/>
          <w:bCs/>
          <w:sz w:val="20"/>
          <w:szCs w:val="20"/>
        </w:rPr>
      </w:pPr>
      <w:r w:rsidRPr="00784CC6">
        <w:rPr>
          <w:b/>
          <w:bCs/>
          <w:sz w:val="20"/>
          <w:szCs w:val="20"/>
        </w:rPr>
        <w:t>Project timescale</w:t>
      </w:r>
    </w:p>
    <w:p w:rsidR="00C50247" w:rsidRPr="00784CC6" w:rsidRDefault="00AF7283" w:rsidP="005832E0">
      <w:pPr>
        <w:rPr>
          <w:b/>
          <w:bCs/>
          <w:sz w:val="20"/>
          <w:szCs w:val="20"/>
        </w:rPr>
      </w:pPr>
      <w:r w:rsidRPr="00784CC6">
        <w:rPr>
          <w:sz w:val="20"/>
          <w:szCs w:val="20"/>
        </w:rPr>
        <w:t>It is difficult to estimate the overall duration of the project as it is hard</w:t>
      </w:r>
      <w:r w:rsidR="00741E9D" w:rsidRPr="00784CC6">
        <w:rPr>
          <w:sz w:val="20"/>
          <w:szCs w:val="20"/>
        </w:rPr>
        <w:t xml:space="preserve"> to quantify the time required to perform the analysis between the photometry and spectroscopy for each survey. In order to reduce the total time the only sensible step that can be taken is to carry out the intermediate redshift photometry with Euclid during the high redshift photometry with JWST. The total observing time </w:t>
      </w:r>
      <w:r w:rsidR="005832E0" w:rsidRPr="00784CC6">
        <w:rPr>
          <w:sz w:val="20"/>
          <w:szCs w:val="20"/>
        </w:rPr>
        <w:t xml:space="preserve">for both </w:t>
      </w:r>
      <w:r w:rsidR="00741E9D" w:rsidRPr="00784CC6">
        <w:rPr>
          <w:sz w:val="20"/>
          <w:szCs w:val="20"/>
        </w:rPr>
        <w:t xml:space="preserve">photometry and spectroscopy is 68.92 </w:t>
      </w:r>
      <w:r w:rsidR="005832E0" w:rsidRPr="00784CC6">
        <w:rPr>
          <w:sz w:val="20"/>
          <w:szCs w:val="20"/>
        </w:rPr>
        <w:t>days, with additional time for the analysis to be performed on each set of results.</w:t>
      </w:r>
    </w:p>
    <w:p w:rsidR="009C07F0" w:rsidRPr="00784CC6" w:rsidRDefault="009C07F0" w:rsidP="009C07F0">
      <w:pPr>
        <w:rPr>
          <w:sz w:val="20"/>
          <w:szCs w:val="20"/>
        </w:rPr>
      </w:pPr>
      <w:r w:rsidRPr="00784CC6">
        <w:rPr>
          <w:sz w:val="20"/>
          <w:szCs w:val="20"/>
        </w:rPr>
        <w:t xml:space="preserve">This strategy is solely based on the use of technology which is not yet operational but is planned for deployment within the next decade. There are 2 clear flaws in this; there is a great deal of uncertainty in the telescope parameters, where gaps in the knowledge have been found sensible estimates based on operational technology such as VLT and HST have been made to mitigate as much of the uncertainty as possible. The second flaw is that this greatly increases the timescale of the project; this is an unavoidable consequence of our aim to see </w:t>
      </w:r>
      <w:r w:rsidR="005832E0" w:rsidRPr="00784CC6">
        <w:rPr>
          <w:sz w:val="20"/>
          <w:szCs w:val="20"/>
        </w:rPr>
        <w:t xml:space="preserve">such </w:t>
      </w:r>
      <w:r w:rsidRPr="00784CC6">
        <w:rPr>
          <w:sz w:val="20"/>
          <w:szCs w:val="20"/>
        </w:rPr>
        <w:t xml:space="preserve">distant redshifts. The current technology has reached its limits and in order to make </w:t>
      </w:r>
      <w:bookmarkStart w:id="0" w:name="_GoBack"/>
      <w:r w:rsidRPr="00784CC6">
        <w:rPr>
          <w:sz w:val="20"/>
          <w:szCs w:val="20"/>
        </w:rPr>
        <w:t>strides forward it is necessary to embrace the next generation of telescopes and this requires time.</w:t>
      </w:r>
      <w:bookmarkEnd w:id="0"/>
    </w:p>
    <w:sectPr w:rsidR="009C07F0" w:rsidRPr="00784CC6" w:rsidSect="00F878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C1C04"/>
    <w:multiLevelType w:val="hybridMultilevel"/>
    <w:tmpl w:val="0BDAE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3F5CD1"/>
    <w:multiLevelType w:val="hybridMultilevel"/>
    <w:tmpl w:val="7C6E2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A519AA"/>
    <w:multiLevelType w:val="hybridMultilevel"/>
    <w:tmpl w:val="8E561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451F0"/>
    <w:rsid w:val="000069CA"/>
    <w:rsid w:val="00077BC5"/>
    <w:rsid w:val="000A0765"/>
    <w:rsid w:val="000C6DD5"/>
    <w:rsid w:val="000E6D5A"/>
    <w:rsid w:val="001307EF"/>
    <w:rsid w:val="001A65AC"/>
    <w:rsid w:val="001D2B44"/>
    <w:rsid w:val="00265C24"/>
    <w:rsid w:val="002D3832"/>
    <w:rsid w:val="002D749D"/>
    <w:rsid w:val="00307593"/>
    <w:rsid w:val="00343992"/>
    <w:rsid w:val="003513A4"/>
    <w:rsid w:val="00372FF1"/>
    <w:rsid w:val="003C5E04"/>
    <w:rsid w:val="004369B6"/>
    <w:rsid w:val="00444BBB"/>
    <w:rsid w:val="004451F0"/>
    <w:rsid w:val="004B2F5E"/>
    <w:rsid w:val="00521DB4"/>
    <w:rsid w:val="005832E0"/>
    <w:rsid w:val="005A7318"/>
    <w:rsid w:val="005E1505"/>
    <w:rsid w:val="005E3F5F"/>
    <w:rsid w:val="005F3DF5"/>
    <w:rsid w:val="00612A7B"/>
    <w:rsid w:val="00625197"/>
    <w:rsid w:val="00626F00"/>
    <w:rsid w:val="00672CC9"/>
    <w:rsid w:val="006B5EA5"/>
    <w:rsid w:val="006E32E4"/>
    <w:rsid w:val="006E4C48"/>
    <w:rsid w:val="00736EA8"/>
    <w:rsid w:val="00741E9D"/>
    <w:rsid w:val="00784CC6"/>
    <w:rsid w:val="00834CCA"/>
    <w:rsid w:val="0088483C"/>
    <w:rsid w:val="00890395"/>
    <w:rsid w:val="00940A8B"/>
    <w:rsid w:val="00986B1C"/>
    <w:rsid w:val="00996E01"/>
    <w:rsid w:val="009B44EC"/>
    <w:rsid w:val="009C07F0"/>
    <w:rsid w:val="009C7A2F"/>
    <w:rsid w:val="00AE0B14"/>
    <w:rsid w:val="00AF7283"/>
    <w:rsid w:val="00B20139"/>
    <w:rsid w:val="00B245DA"/>
    <w:rsid w:val="00C50247"/>
    <w:rsid w:val="00CE33C8"/>
    <w:rsid w:val="00CE4322"/>
    <w:rsid w:val="00D058E1"/>
    <w:rsid w:val="00D86804"/>
    <w:rsid w:val="00DA4033"/>
    <w:rsid w:val="00E15A76"/>
    <w:rsid w:val="00F46178"/>
    <w:rsid w:val="00F73871"/>
    <w:rsid w:val="00F878BE"/>
    <w:rsid w:val="00FA76C6"/>
    <w:rsid w:val="00FC6072"/>
    <w:rsid w:val="60E496F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6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1F0"/>
    <w:pPr>
      <w:ind w:left="720"/>
      <w:contextualSpacing/>
    </w:pPr>
  </w:style>
  <w:style w:type="table" w:styleId="TableGrid">
    <w:name w:val="Table Grid"/>
    <w:basedOn w:val="TableNormal"/>
    <w:uiPriority w:val="59"/>
    <w:rsid w:val="004369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1F0"/>
    <w:pPr>
      <w:ind w:left="720"/>
      <w:contextualSpacing/>
    </w:pPr>
  </w:style>
  <w:style w:type="table" w:styleId="TableGrid">
    <w:name w:val="Table Grid"/>
    <w:basedOn w:val="TableNormal"/>
    <w:uiPriority w:val="59"/>
    <w:rsid w:val="004369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2</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Administrator</Company>
  <LinksUpToDate>false</LinksUpToDate>
  <CharactersWithSpaces>4284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dc:creator>
  <cp:lastModifiedBy>Mike</cp:lastModifiedBy>
  <cp:revision>21</cp:revision>
  <dcterms:created xsi:type="dcterms:W3CDTF">2013-03-19T18:52:00Z</dcterms:created>
  <dcterms:modified xsi:type="dcterms:W3CDTF">2013-03-21T18:38:00Z</dcterms:modified>
</cp:coreProperties>
</file>