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BE651D">
      <w:r>
        <w:t>Method</w:t>
      </w:r>
    </w:p>
    <w:p w:rsidR="00BE651D" w:rsidRDefault="0020295D" w:rsidP="00297913">
      <w:pPr>
        <w:jc w:val="both"/>
      </w:pPr>
      <w:r>
        <w:t>A range of factors were considered when determining</w:t>
      </w:r>
      <w:r w:rsidR="00BE651D">
        <w:t xml:space="preserve"> whi</w:t>
      </w:r>
      <w:r w:rsidR="007F065B">
        <w:t>ch telescope</w:t>
      </w:r>
      <w:r>
        <w:t xml:space="preserve">, </w:t>
      </w:r>
      <w:r w:rsidR="007F065B">
        <w:t>survey area</w:t>
      </w:r>
      <w:r>
        <w:t xml:space="preserve"> and survey </w:t>
      </w:r>
      <w:proofErr w:type="gramStart"/>
      <w:r>
        <w:t>depth</w:t>
      </w:r>
      <w:r w:rsidR="007F065B">
        <w:t xml:space="preserve"> were</w:t>
      </w:r>
      <w:proofErr w:type="gramEnd"/>
      <w:r>
        <w:t xml:space="preserve"> best suited to the mission of observing the </w:t>
      </w:r>
      <w:proofErr w:type="spellStart"/>
      <w:r>
        <w:t>EoR</w:t>
      </w:r>
      <w:proofErr w:type="spellEnd"/>
      <w:r>
        <w:t xml:space="preserve">. </w:t>
      </w:r>
      <w:r w:rsidR="00025F81">
        <w:t>Firstly, t</w:t>
      </w:r>
      <w:r>
        <w:t>ime was</w:t>
      </w:r>
      <w:r w:rsidR="00BE651D">
        <w:t xml:space="preserve"> an overall constraint</w:t>
      </w:r>
      <w:r>
        <w:t xml:space="preserve"> on</w:t>
      </w:r>
      <w:r w:rsidR="007F065B">
        <w:t xml:space="preserve"> observations</w:t>
      </w:r>
      <w:r w:rsidR="00C64408">
        <w:t>, with the Hubble ultra-deep field setting a realistic upper limit of around 2 million seconds</w:t>
      </w:r>
      <w:r w:rsidR="00025F81">
        <w:t xml:space="preserve"> for a </w:t>
      </w:r>
      <w:r w:rsidR="00297913">
        <w:t>total exposure time.</w:t>
      </w:r>
      <w:r w:rsidR="00BE651D">
        <w:t xml:space="preserve"> The primary aim was to see a significant number of </w:t>
      </w:r>
      <w:r w:rsidR="00C64408">
        <w:t>z 6 plus galaxies</w:t>
      </w:r>
      <w:r w:rsidR="00BE651D">
        <w:t>, but it was also considered that at very high redshift (i.e. greater than ten</w:t>
      </w:r>
      <w:r w:rsidR="007F065B">
        <w:t>)</w:t>
      </w:r>
      <w:r w:rsidR="00BE651D">
        <w:t>, the number density of</w:t>
      </w:r>
      <w:r w:rsidR="007F065B">
        <w:t xml:space="preserve"> visible objects would decrease rapidly, so there were diminishing returns when looking for candidates</w:t>
      </w:r>
      <w:r>
        <w:t xml:space="preserve"> </w:t>
      </w:r>
      <w:r w:rsidR="007B086C">
        <w:t xml:space="preserve">at increasingly high </w:t>
      </w:r>
      <w:r w:rsidR="00C64408">
        <w:t xml:space="preserve">redshifts. </w:t>
      </w:r>
      <w:r w:rsidR="007F065B">
        <w:t xml:space="preserve">The following </w:t>
      </w:r>
      <w:r>
        <w:t xml:space="preserve">procedure </w:t>
      </w:r>
      <w:r w:rsidR="007F065B">
        <w:t>outlines the method by</w:t>
      </w:r>
      <w:r>
        <w:t xml:space="preserve"> which the final photometry strategy was obtained:</w:t>
      </w:r>
    </w:p>
    <w:p w:rsidR="00396E64" w:rsidRDefault="00C64408" w:rsidP="005D579C">
      <w:pPr>
        <w:jc w:val="both"/>
      </w:pPr>
      <w:r>
        <w:t xml:space="preserve">Firstly the prediction group’s program </w:t>
      </w:r>
      <w:r w:rsidR="00396E64">
        <w:t>was run for a large range of magnitudes and redshifts. The inputs were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797"/>
      </w:tblGrid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Parameter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input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Z1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6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Z2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16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proofErr w:type="spellStart"/>
            <w:r>
              <w:t>Dz</w:t>
            </w:r>
            <w:proofErr w:type="spellEnd"/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0.5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M1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26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M2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35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proofErr w:type="spellStart"/>
            <w:r>
              <w:t>Dm</w:t>
            </w:r>
            <w:proofErr w:type="spellEnd"/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0.05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Shell no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100</w:t>
            </w:r>
          </w:p>
        </w:tc>
      </w:tr>
      <w:tr w:rsidR="005D579C" w:rsidTr="005D579C">
        <w:trPr>
          <w:jc w:val="center"/>
        </w:trPr>
        <w:tc>
          <w:tcPr>
            <w:tcW w:w="1272" w:type="dxa"/>
          </w:tcPr>
          <w:p w:rsidR="005D579C" w:rsidRDefault="005D579C" w:rsidP="005D579C">
            <w:pPr>
              <w:jc w:val="center"/>
            </w:pPr>
            <w:r>
              <w:t>Bin no.</w:t>
            </w:r>
          </w:p>
        </w:tc>
        <w:tc>
          <w:tcPr>
            <w:tcW w:w="797" w:type="dxa"/>
          </w:tcPr>
          <w:p w:rsidR="005D579C" w:rsidRDefault="005D579C" w:rsidP="005D579C">
            <w:pPr>
              <w:jc w:val="center"/>
            </w:pPr>
            <w:r>
              <w:t>100</w:t>
            </w:r>
          </w:p>
        </w:tc>
      </w:tr>
    </w:tbl>
    <w:p w:rsidR="0020295D" w:rsidRDefault="0020295D" w:rsidP="005D579C">
      <w:pPr>
        <w:jc w:val="center"/>
      </w:pPr>
    </w:p>
    <w:p w:rsidR="003A52E5" w:rsidRDefault="003A52E5" w:rsidP="00025F81">
      <w:pPr>
        <w:jc w:val="both"/>
      </w:pPr>
      <w:r>
        <w:t xml:space="preserve">This gave a large selection of number densities in ‘bins’ which could be summed </w:t>
      </w:r>
      <w:r w:rsidR="00025F81">
        <w:t xml:space="preserve">to give the total number density of objects within a redshift and magnitude range. The observational strategists were therefore in charge of choosing realistic limits for these two parameters.  </w:t>
      </w:r>
    </w:p>
    <w:p w:rsidR="005D579C" w:rsidRDefault="005D579C" w:rsidP="00025F81">
      <w:pPr>
        <w:jc w:val="both"/>
      </w:pPr>
      <w:r>
        <w:t>Either a magnitude</w:t>
      </w:r>
      <w:r w:rsidR="003A52E5">
        <w:t xml:space="preserve"> limit</w:t>
      </w:r>
      <w:r>
        <w:t xml:space="preserve"> was set </w:t>
      </w:r>
      <w:proofErr w:type="gramStart"/>
      <w:r>
        <w:t>directly,</w:t>
      </w:r>
      <w:proofErr w:type="gramEnd"/>
      <w:r>
        <w:t xml:space="preserve"> or</w:t>
      </w:r>
      <w:r w:rsidR="003A52E5">
        <w:t>,</w:t>
      </w:r>
      <w:r w:rsidR="00025F81">
        <w:t xml:space="preserve"> using the ‘observation </w:t>
      </w:r>
      <w:r>
        <w:t>time</w:t>
      </w:r>
      <w:r w:rsidR="00025F81">
        <w:t>’</w:t>
      </w:r>
      <w:r>
        <w:t xml:space="preserve"> </w:t>
      </w:r>
      <w:proofErr w:type="spellStart"/>
      <w:r>
        <w:t>spreadsheet</w:t>
      </w:r>
      <w:proofErr w:type="spellEnd"/>
      <w:r>
        <w:t xml:space="preserve">, a time limit was imposed, which therefore put constraints on how deep each telescope could observe to. Time limits were </w:t>
      </w:r>
      <w:r w:rsidR="003A52E5">
        <w:t>primarily</w:t>
      </w:r>
      <w:r>
        <w:t xml:space="preserve"> </w:t>
      </w:r>
      <w:r w:rsidR="003A52E5">
        <w:t>needed</w:t>
      </w:r>
      <w:r>
        <w:t xml:space="preserve"> for those observations that were looking to see the highest redshift objects, and therefore benefited from very faint magnitudes and long total exposure times.</w:t>
      </w:r>
    </w:p>
    <w:p w:rsidR="000F5ACC" w:rsidRDefault="000F5ACC" w:rsidP="007B086C">
      <w:pPr>
        <w:jc w:val="both"/>
      </w:pPr>
      <w:r>
        <w:t xml:space="preserve">Subsequently, all data </w:t>
      </w:r>
      <w:r w:rsidR="003A52E5">
        <w:t>upwards from the faintest magnitude w</w:t>
      </w:r>
      <w:r>
        <w:t xml:space="preserve">as put into an excel </w:t>
      </w:r>
      <w:proofErr w:type="spellStart"/>
      <w:r>
        <w:t>spreadsheet</w:t>
      </w:r>
      <w:proofErr w:type="spellEnd"/>
      <w:r>
        <w:t xml:space="preserve"> where it could be summed to fin</w:t>
      </w:r>
      <w:r w:rsidR="00025F81">
        <w:t xml:space="preserve">d the total number of galaxies given the constraints. </w:t>
      </w:r>
    </w:p>
    <w:p w:rsidR="003A52E5" w:rsidRDefault="00EB77AC" w:rsidP="00EB77AC">
      <w:pPr>
        <w:jc w:val="both"/>
      </w:pPr>
      <w:r>
        <w:t>When a total survey time was set, t</w:t>
      </w:r>
      <w:r w:rsidR="003A52E5">
        <w:t xml:space="preserve">his allowed the observational strategists to quantitatively say </w:t>
      </w:r>
      <w:r>
        <w:t xml:space="preserve">what combination of survey area and survey depth yielded the highest number of galaxies within the required redshift range. A </w:t>
      </w:r>
      <w:r w:rsidR="00025F81">
        <w:t>simplified</w:t>
      </w:r>
      <w:r>
        <w:t xml:space="preserve"> example is given below:</w:t>
      </w:r>
    </w:p>
    <w:p w:rsidR="00297913" w:rsidRPr="00297913" w:rsidRDefault="00297913" w:rsidP="00EB77AC">
      <w:pPr>
        <w:jc w:val="both"/>
        <w:rPr>
          <w:u w:val="single"/>
        </w:rPr>
      </w:pPr>
      <w:r w:rsidRPr="00297913">
        <w:rPr>
          <w:u w:val="single"/>
        </w:rPr>
        <w:t>Example</w:t>
      </w:r>
    </w:p>
    <w:p w:rsidR="00025F81" w:rsidRDefault="00025F81" w:rsidP="00EB77AC">
      <w:pPr>
        <w:jc w:val="both"/>
      </w:pPr>
      <w:r>
        <w:t>For a particular telescope, the total exposure time constrains the magnitude.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3374"/>
        <w:gridCol w:w="3775"/>
      </w:tblGrid>
      <w:tr w:rsidR="00E161CB" w:rsidTr="00025F81">
        <w:tc>
          <w:tcPr>
            <w:tcW w:w="1043" w:type="dxa"/>
          </w:tcPr>
          <w:p w:rsidR="00EB77AC" w:rsidRPr="00EB77AC" w:rsidRDefault="00E161CB" w:rsidP="00EB77AC">
            <w:pPr>
              <w:jc w:val="both"/>
            </w:pPr>
            <w:r>
              <w:t>time</w:t>
            </w:r>
          </w:p>
        </w:tc>
        <w:tc>
          <w:tcPr>
            <w:tcW w:w="3374" w:type="dxa"/>
          </w:tcPr>
          <w:p w:rsidR="00EB77AC" w:rsidRDefault="00E161CB" w:rsidP="00E161CB">
            <w:pPr>
              <w:pStyle w:val="ListParagraph"/>
              <w:ind w:left="0"/>
              <w:jc w:val="both"/>
            </w:pPr>
            <w:r>
              <w:t>Dimmest magnitude at that depth</w:t>
            </w:r>
          </w:p>
        </w:tc>
        <w:tc>
          <w:tcPr>
            <w:tcW w:w="3775" w:type="dxa"/>
          </w:tcPr>
          <w:p w:rsidR="00EB77AC" w:rsidRDefault="00E161CB" w:rsidP="00EB77AC">
            <w:pPr>
              <w:pStyle w:val="ListParagraph"/>
              <w:ind w:left="0"/>
              <w:jc w:val="both"/>
            </w:pPr>
            <w:r>
              <w:t>Number density of galaxies per degree</w:t>
            </w:r>
          </w:p>
        </w:tc>
      </w:tr>
      <w:tr w:rsidR="00E161CB" w:rsidTr="00025F81">
        <w:tc>
          <w:tcPr>
            <w:tcW w:w="1043" w:type="dxa"/>
          </w:tcPr>
          <w:p w:rsidR="00EB77AC" w:rsidRPr="00EB77AC" w:rsidRDefault="00EB77AC" w:rsidP="00660D26">
            <w:pPr>
              <w:jc w:val="both"/>
              <w:rPr>
                <w:lang w:val="pt-BR"/>
              </w:rPr>
            </w:pPr>
            <w:r w:rsidRPr="00EB77AC">
              <w:rPr>
                <w:lang w:val="pt-BR"/>
              </w:rPr>
              <w:t>1 mil</w:t>
            </w:r>
          </w:p>
        </w:tc>
        <w:tc>
          <w:tcPr>
            <w:tcW w:w="3374" w:type="dxa"/>
          </w:tcPr>
          <w:p w:rsidR="00EB77AC" w:rsidRDefault="00E161CB" w:rsidP="00EB77AC">
            <w:pPr>
              <w:pStyle w:val="ListParagraph"/>
              <w:ind w:left="0"/>
              <w:jc w:val="both"/>
            </w:pPr>
            <w:r>
              <w:t>32.1</w:t>
            </w:r>
          </w:p>
        </w:tc>
        <w:tc>
          <w:tcPr>
            <w:tcW w:w="3775" w:type="dxa"/>
          </w:tcPr>
          <w:p w:rsidR="00EB77AC" w:rsidRDefault="00E161CB" w:rsidP="00E161CB">
            <w:pPr>
              <w:pStyle w:val="ListParagraph"/>
              <w:ind w:left="0"/>
              <w:jc w:val="both"/>
            </w:pPr>
            <w:r>
              <w:t>5000</w:t>
            </w:r>
          </w:p>
        </w:tc>
      </w:tr>
      <w:tr w:rsidR="00E161CB" w:rsidTr="00025F81">
        <w:tc>
          <w:tcPr>
            <w:tcW w:w="1043" w:type="dxa"/>
          </w:tcPr>
          <w:p w:rsidR="00EB77AC" w:rsidRPr="00EB77AC" w:rsidRDefault="00E161CB" w:rsidP="00660D2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0.5 </w:t>
            </w:r>
            <w:r w:rsidR="00EB77AC" w:rsidRPr="00EB77AC">
              <w:rPr>
                <w:lang w:val="pt-BR"/>
              </w:rPr>
              <w:t>mil</w:t>
            </w:r>
          </w:p>
        </w:tc>
        <w:tc>
          <w:tcPr>
            <w:tcW w:w="3374" w:type="dxa"/>
          </w:tcPr>
          <w:p w:rsidR="00EB77AC" w:rsidRDefault="00E161CB" w:rsidP="00EB77AC">
            <w:pPr>
              <w:pStyle w:val="ListParagraph"/>
              <w:ind w:left="0"/>
              <w:jc w:val="both"/>
            </w:pPr>
            <w:r>
              <w:t>30.8</w:t>
            </w:r>
          </w:p>
        </w:tc>
        <w:tc>
          <w:tcPr>
            <w:tcW w:w="3775" w:type="dxa"/>
          </w:tcPr>
          <w:p w:rsidR="00EB77AC" w:rsidRDefault="00E161CB" w:rsidP="00EB77AC">
            <w:pPr>
              <w:pStyle w:val="ListParagraph"/>
              <w:ind w:left="0"/>
              <w:jc w:val="both"/>
            </w:pPr>
            <w:r>
              <w:t>2600</w:t>
            </w:r>
          </w:p>
        </w:tc>
      </w:tr>
      <w:tr w:rsidR="00E161CB" w:rsidTr="00025F81">
        <w:tc>
          <w:tcPr>
            <w:tcW w:w="1043" w:type="dxa"/>
          </w:tcPr>
          <w:p w:rsidR="00EB77AC" w:rsidRPr="00EB77AC" w:rsidRDefault="00E161CB" w:rsidP="00660D2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0.25 </w:t>
            </w:r>
            <w:r w:rsidR="00EB77AC" w:rsidRPr="00EB77AC">
              <w:rPr>
                <w:lang w:val="pt-BR"/>
              </w:rPr>
              <w:t>mil</w:t>
            </w:r>
          </w:p>
        </w:tc>
        <w:tc>
          <w:tcPr>
            <w:tcW w:w="3374" w:type="dxa"/>
          </w:tcPr>
          <w:p w:rsidR="00EB77AC" w:rsidRDefault="00E161CB" w:rsidP="00EB77AC">
            <w:pPr>
              <w:pStyle w:val="ListParagraph"/>
              <w:ind w:left="0"/>
              <w:jc w:val="both"/>
            </w:pPr>
            <w:r>
              <w:t>29.6</w:t>
            </w:r>
          </w:p>
        </w:tc>
        <w:tc>
          <w:tcPr>
            <w:tcW w:w="3775" w:type="dxa"/>
          </w:tcPr>
          <w:p w:rsidR="00EB77AC" w:rsidRDefault="00E161CB" w:rsidP="00E161CB">
            <w:pPr>
              <w:pStyle w:val="ListParagraph"/>
              <w:ind w:left="0"/>
              <w:jc w:val="both"/>
            </w:pPr>
            <w:r>
              <w:t>1600</w:t>
            </w:r>
          </w:p>
        </w:tc>
      </w:tr>
    </w:tbl>
    <w:p w:rsidR="00E161CB" w:rsidRDefault="00E161CB" w:rsidP="00EB77AC">
      <w:pPr>
        <w:pStyle w:val="ListParagraph"/>
        <w:jc w:val="both"/>
      </w:pPr>
    </w:p>
    <w:p w:rsidR="00E161CB" w:rsidRDefault="00E161CB" w:rsidP="00025F81">
      <w:pPr>
        <w:jc w:val="both"/>
      </w:pPr>
      <w:r>
        <w:lastRenderedPageBreak/>
        <w:t xml:space="preserve">Subsequently, there </w:t>
      </w:r>
      <w:r w:rsidR="00025F81">
        <w:t>are many</w:t>
      </w:r>
      <w:r>
        <w:t xml:space="preserve"> possible ways to make up a total survey time of 1 million seconds:</w:t>
      </w:r>
    </w:p>
    <w:p w:rsidR="00E161CB" w:rsidRDefault="00E161CB" w:rsidP="00E161CB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63"/>
      </w:tblGrid>
      <w:tr w:rsidR="00E161CB" w:rsidTr="00E161CB">
        <w:tc>
          <w:tcPr>
            <w:tcW w:w="2871" w:type="dxa"/>
          </w:tcPr>
          <w:p w:rsidR="00E161CB" w:rsidRDefault="006751B7" w:rsidP="00E161CB">
            <w:pPr>
              <w:pStyle w:val="ListParagraph"/>
              <w:ind w:left="0"/>
              <w:jc w:val="both"/>
            </w:pPr>
            <w:r>
              <w:t>Survey make-up</w:t>
            </w:r>
          </w:p>
        </w:tc>
        <w:tc>
          <w:tcPr>
            <w:tcW w:w="2863" w:type="dxa"/>
          </w:tcPr>
          <w:p w:rsidR="00E161CB" w:rsidRDefault="00E161CB" w:rsidP="00025F81">
            <w:pPr>
              <w:pStyle w:val="ListParagraph"/>
              <w:ind w:left="0"/>
              <w:jc w:val="both"/>
            </w:pPr>
            <w:r>
              <w:t xml:space="preserve">Number </w:t>
            </w:r>
            <w:r w:rsidR="00025F81">
              <w:t xml:space="preserve">of galaxies expected  </w:t>
            </w:r>
            <w:r w:rsidR="00025F81" w:rsidRPr="00297913">
              <w:rPr>
                <w:highlight w:val="yellow"/>
              </w:rPr>
              <w:t>per degree of total survey</w:t>
            </w:r>
          </w:p>
        </w:tc>
      </w:tr>
      <w:tr w:rsidR="00E161CB" w:rsidTr="00E161CB">
        <w:tc>
          <w:tcPr>
            <w:tcW w:w="2871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1 x 1 mil</w:t>
            </w:r>
          </w:p>
        </w:tc>
        <w:tc>
          <w:tcPr>
            <w:tcW w:w="2863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5000</w:t>
            </w:r>
          </w:p>
        </w:tc>
      </w:tr>
      <w:tr w:rsidR="00E161CB" w:rsidTr="00E161CB">
        <w:tc>
          <w:tcPr>
            <w:tcW w:w="2871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2 x 0.5 mil</w:t>
            </w:r>
          </w:p>
        </w:tc>
        <w:tc>
          <w:tcPr>
            <w:tcW w:w="2863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5200</w:t>
            </w:r>
          </w:p>
        </w:tc>
      </w:tr>
      <w:tr w:rsidR="00E161CB" w:rsidTr="00E161CB">
        <w:tc>
          <w:tcPr>
            <w:tcW w:w="2871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4 x 0.25 mil</w:t>
            </w:r>
          </w:p>
        </w:tc>
        <w:tc>
          <w:tcPr>
            <w:tcW w:w="2863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6400</w:t>
            </w:r>
          </w:p>
        </w:tc>
      </w:tr>
      <w:tr w:rsidR="00E161CB" w:rsidTr="00E161CB">
        <w:tc>
          <w:tcPr>
            <w:tcW w:w="2871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2 x 0.25 mil + 1 x 0.5 mil</w:t>
            </w:r>
          </w:p>
        </w:tc>
        <w:tc>
          <w:tcPr>
            <w:tcW w:w="2863" w:type="dxa"/>
          </w:tcPr>
          <w:p w:rsidR="00E161CB" w:rsidRDefault="00E161CB" w:rsidP="00E161CB">
            <w:pPr>
              <w:pStyle w:val="ListParagraph"/>
              <w:ind w:left="0"/>
              <w:jc w:val="both"/>
            </w:pPr>
            <w:r>
              <w:t>5800</w:t>
            </w:r>
          </w:p>
        </w:tc>
      </w:tr>
    </w:tbl>
    <w:p w:rsidR="00E161CB" w:rsidRDefault="00E161CB" w:rsidP="00E161CB">
      <w:pPr>
        <w:pStyle w:val="ListParagraph"/>
        <w:jc w:val="both"/>
      </w:pPr>
      <w:r>
        <w:t xml:space="preserve"> </w:t>
      </w:r>
    </w:p>
    <w:p w:rsidR="007B086C" w:rsidRDefault="00025F81" w:rsidP="00297913">
      <w:pPr>
        <w:jc w:val="both"/>
      </w:pPr>
      <w:r>
        <w:t>In the above example, the</w:t>
      </w:r>
      <w:r w:rsidR="00297913">
        <w:t xml:space="preserve"> largest</w:t>
      </w:r>
      <w:r>
        <w:t xml:space="preserve"> number of galaxies can be observed by doing 4 x 0.25 mil second exposures. However, this favours finding more galaxies at low redshift and fewer a</w:t>
      </w:r>
      <w:bookmarkStart w:id="0" w:name="_GoBack"/>
      <w:bookmarkEnd w:id="0"/>
      <w:r>
        <w:t>t the high end.</w:t>
      </w:r>
    </w:p>
    <w:sectPr w:rsidR="007B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47EB"/>
    <w:multiLevelType w:val="hybridMultilevel"/>
    <w:tmpl w:val="A0C4E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871B8"/>
    <w:multiLevelType w:val="hybridMultilevel"/>
    <w:tmpl w:val="E1924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F53D0E"/>
    <w:multiLevelType w:val="hybridMultilevel"/>
    <w:tmpl w:val="0FDE0C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1D"/>
    <w:rsid w:val="00025F81"/>
    <w:rsid w:val="000F5ACC"/>
    <w:rsid w:val="001A637F"/>
    <w:rsid w:val="0020295D"/>
    <w:rsid w:val="00297913"/>
    <w:rsid w:val="00396E64"/>
    <w:rsid w:val="003A52E5"/>
    <w:rsid w:val="005D579C"/>
    <w:rsid w:val="005F1F20"/>
    <w:rsid w:val="006751B7"/>
    <w:rsid w:val="007B086C"/>
    <w:rsid w:val="007F065B"/>
    <w:rsid w:val="009927BD"/>
    <w:rsid w:val="009A7F72"/>
    <w:rsid w:val="00BE651D"/>
    <w:rsid w:val="00C64408"/>
    <w:rsid w:val="00E161CB"/>
    <w:rsid w:val="00E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7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isclusteruser</cp:lastModifiedBy>
  <cp:revision>5</cp:revision>
  <dcterms:created xsi:type="dcterms:W3CDTF">2013-03-14T17:51:00Z</dcterms:created>
  <dcterms:modified xsi:type="dcterms:W3CDTF">2013-03-15T11:53:00Z</dcterms:modified>
</cp:coreProperties>
</file>