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7BD" w:rsidRDefault="00F37996">
      <w:r>
        <w:t>High redshift</w:t>
      </w:r>
      <w:r w:rsidR="004076B9">
        <w:t xml:space="preserve"> Survey (z&gt;10)</w:t>
      </w:r>
    </w:p>
    <w:p w:rsidR="00F37996" w:rsidRDefault="00F37996" w:rsidP="00E44FEA">
      <w:r>
        <w:t>Very few observations have been made at redshifts of &gt;10, the HU</w:t>
      </w:r>
      <w:r w:rsidR="008115BF">
        <w:t xml:space="preserve">DF has observed one LBG </w:t>
      </w:r>
      <w:r w:rsidR="00667B67">
        <w:t>at 11.9, as mentioned in sect</w:t>
      </w:r>
      <w:proofErr w:type="gramStart"/>
      <w:r w:rsidR="00667B67">
        <w:t>..</w:t>
      </w:r>
      <w:proofErr w:type="gramEnd"/>
      <w:r w:rsidR="00667B67">
        <w:t>(</w:t>
      </w:r>
      <w:proofErr w:type="spellStart"/>
      <w:proofErr w:type="gramStart"/>
      <w:r w:rsidR="00667B67">
        <w:t>hubble</w:t>
      </w:r>
      <w:proofErr w:type="spellEnd"/>
      <w:proofErr w:type="gramEnd"/>
      <w:r w:rsidR="00667B67">
        <w:t>)</w:t>
      </w:r>
      <w:r w:rsidR="008115BF">
        <w:t xml:space="preserve"> </w:t>
      </w:r>
      <w:r>
        <w:t xml:space="preserve">but it has yet to be confirmed by spectroscopy (they are waiting for JWST). </w:t>
      </w:r>
      <w:r w:rsidR="0025099D">
        <w:t>The earliest stages of re</w:t>
      </w:r>
      <w:r w:rsidR="00E44FEA">
        <w:t>-</w:t>
      </w:r>
      <w:r w:rsidR="0025099D">
        <w:t>ionization when matter began to collapse and str</w:t>
      </w:r>
      <w:r w:rsidR="004076B9">
        <w:t xml:space="preserve">uctures formed are very poorly </w:t>
      </w:r>
      <w:r w:rsidR="0025099D">
        <w:t xml:space="preserve">understood. </w:t>
      </w:r>
      <w:r w:rsidR="00F31EAC">
        <w:t>Estimates of when re</w:t>
      </w:r>
      <w:r w:rsidR="00E44FEA">
        <w:t>-</w:t>
      </w:r>
      <w:r w:rsidR="00F31EAC">
        <w:t>ionization began range upwards to</w:t>
      </w:r>
      <w:r w:rsidR="00E44FEA">
        <w:t xml:space="preserve"> redshift</w:t>
      </w:r>
      <w:r w:rsidR="00F31EAC">
        <w:t xml:space="preserve">≈20, any observations made </w:t>
      </w:r>
      <w:proofErr w:type="gramStart"/>
      <w:r w:rsidR="00F31EAC">
        <w:t>between 10-20</w:t>
      </w:r>
      <w:proofErr w:type="gramEnd"/>
      <w:r w:rsidR="00F31EAC">
        <w:t xml:space="preserve"> are vital for constraining models of re</w:t>
      </w:r>
      <w:r w:rsidR="00E44FEA">
        <w:t>-</w:t>
      </w:r>
      <w:r w:rsidR="00F31EAC">
        <w:t xml:space="preserve">ionization. </w:t>
      </w:r>
    </w:p>
    <w:p w:rsidR="00DE3919" w:rsidRDefault="001A43AE" w:rsidP="00DE3919">
      <w:r>
        <w:t xml:space="preserve">This survey looks to see beyond z=10 </w:t>
      </w:r>
      <w:r w:rsidR="00533E36">
        <w:t>to as distant a redshift as possible.</w:t>
      </w:r>
      <w:r>
        <w:t xml:space="preserve"> </w:t>
      </w:r>
      <w:r w:rsidR="007A1EB0">
        <w:t xml:space="preserve">Initial consideration for this survey looked at using JWST or E-ELT, however due to the limited filters installed on E-ELT the survey </w:t>
      </w:r>
      <w:r w:rsidR="000D080C">
        <w:t xml:space="preserve">must be carried out </w:t>
      </w:r>
      <w:r w:rsidR="007A1EB0">
        <w:t>using the James Webb Space Telescope.</w:t>
      </w:r>
      <w:r w:rsidR="00DE3919">
        <w:t xml:space="preserve"> For this redshift range 4 filters are required, the range of filters available are shown in fig</w:t>
      </w:r>
      <w:proofErr w:type="gramStart"/>
      <w:r w:rsidR="00DE3919">
        <w:t>.</w:t>
      </w:r>
      <w:r w:rsidR="00667B67">
        <w:t>[</w:t>
      </w:r>
      <w:proofErr w:type="gramEnd"/>
      <w:r w:rsidR="00667B67">
        <w:t>below]</w:t>
      </w:r>
    </w:p>
    <w:p w:rsidR="00DE3919" w:rsidRDefault="0044696C" w:rsidP="0044696C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095750" cy="2960489"/>
            <wp:effectExtent l="19050" t="0" r="0" b="0"/>
            <wp:docPr id="1" name="Picture 1" descr="http://www.stsci.edu/jwst/instruments/nircam/instrumentdesign/filters/nircam_passbands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sci.edu/jwst/instruments/nircam/instrumentdesign/filters/nircam_passbands_lar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960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96C" w:rsidRDefault="00667B67" w:rsidP="0044696C">
      <w:pPr>
        <w:jc w:val="center"/>
      </w:pPr>
      <w:r>
        <w:t xml:space="preserve">Caption: </w:t>
      </w:r>
      <w:r w:rsidR="0044696C">
        <w:t xml:space="preserve">JWST’s </w:t>
      </w:r>
      <w:proofErr w:type="spellStart"/>
      <w:r w:rsidR="0044696C">
        <w:t>NIRCam</w:t>
      </w:r>
      <w:proofErr w:type="spellEnd"/>
      <w:r w:rsidR="0044696C">
        <w:t xml:space="preserve"> filters. </w:t>
      </w:r>
    </w:p>
    <w:p w:rsidR="00DE3919" w:rsidRDefault="00DE3919" w:rsidP="000E5A7A">
      <w:r>
        <w:t xml:space="preserve">For this survey </w:t>
      </w:r>
      <w:r w:rsidR="000E5A7A">
        <w:t xml:space="preserve">the wide </w:t>
      </w:r>
      <w:r>
        <w:t>fil</w:t>
      </w:r>
      <w:r w:rsidR="000E5A7A">
        <w:t>ters F1</w:t>
      </w:r>
      <w:r>
        <w:t>1</w:t>
      </w:r>
      <w:r w:rsidR="000E5A7A">
        <w:t>5</w:t>
      </w:r>
      <w:r>
        <w:t xml:space="preserve">W, F150W, F200W and F277W will be used. Observations in 4 filters </w:t>
      </w:r>
      <w:r w:rsidR="00D12E28">
        <w:t>are</w:t>
      </w:r>
      <w:r w:rsidR="000E5A7A">
        <w:t xml:space="preserve"> required in order to observe sufficient flux and the dropout across this redshift range. Initially 3 filters were proposed as a means to limit the observation time but it was found </w:t>
      </w:r>
      <w:r w:rsidR="0084660C">
        <w:t xml:space="preserve">to limit </w:t>
      </w:r>
      <w:r w:rsidR="000E5A7A">
        <w:t>the redshift range too greatly</w:t>
      </w:r>
      <w:r w:rsidR="00667B67">
        <w:t xml:space="preserve">. </w:t>
      </w:r>
      <w:r w:rsidR="0038649D">
        <w:t xml:space="preserve">The 4 filters </w:t>
      </w:r>
      <w:r w:rsidR="00882578">
        <w:t xml:space="preserve">extend the high </w:t>
      </w:r>
      <w:r w:rsidR="0038649D">
        <w:t>redshift</w:t>
      </w:r>
      <w:r w:rsidR="00882578">
        <w:t xml:space="preserve"> end from 1</w:t>
      </w:r>
      <w:r w:rsidR="000029B9">
        <w:t>3</w:t>
      </w:r>
      <w:r w:rsidR="00882578">
        <w:t xml:space="preserve"> to 17</w:t>
      </w:r>
      <w:r w:rsidR="0038649D">
        <w:t>, although it should be noted nothing will be observed above a redshift of 15.</w:t>
      </w:r>
    </w:p>
    <w:p w:rsidR="00217B74" w:rsidRDefault="0084660C" w:rsidP="00866933">
      <w:r>
        <w:t>The survey times are based on similar times to the</w:t>
      </w:r>
      <w:r w:rsidR="000E5A7A">
        <w:t xml:space="preserve"> </w:t>
      </w:r>
      <w:proofErr w:type="gramStart"/>
      <w:r w:rsidR="000E5A7A">
        <w:t>HUDF</w:t>
      </w:r>
      <w:r>
        <w:t>[</w:t>
      </w:r>
      <w:proofErr w:type="gramEnd"/>
      <w:r w:rsidR="00A029D9">
        <w:t>Hubsite_2</w:t>
      </w:r>
      <w:r>
        <w:t xml:space="preserve">]; times of </w:t>
      </w:r>
      <w:r w:rsidR="000E5A7A">
        <w:t>500,000s and 1,000,000s in each filter were investigated</w:t>
      </w:r>
      <w:r>
        <w:t xml:space="preserve"> (2 million and 4 million seconds</w:t>
      </w:r>
      <w:r w:rsidR="00866933">
        <w:t xml:space="preserve"> total</w:t>
      </w:r>
      <w:r>
        <w:t xml:space="preserve"> across 4 filters respectively)</w:t>
      </w:r>
      <w:r w:rsidR="000E5A7A">
        <w:t>.</w:t>
      </w:r>
      <w:r w:rsidR="00217B74">
        <w:t xml:space="preserve"> The number of galaxies observed was compared for each of these times and a survey of twice the length will find around 60-90% more galaxies</w:t>
      </w:r>
      <w:r w:rsidR="00667B67">
        <w:t xml:space="preserve">, shown in </w:t>
      </w:r>
      <w:proofErr w:type="gramStart"/>
      <w:r w:rsidR="00667B67">
        <w:t>table(</w:t>
      </w:r>
      <w:proofErr w:type="gramEnd"/>
      <w:r w:rsidR="00667B67">
        <w:t>below)</w:t>
      </w:r>
      <w:r w:rsidR="00217B74">
        <w:t xml:space="preserve"> However, </w:t>
      </w:r>
      <w:r w:rsidR="00CD49A7">
        <w:t>i</w:t>
      </w:r>
      <w:r w:rsidR="009A6336">
        <w:t>t has been decided that</w:t>
      </w:r>
      <w:r w:rsidR="00611A72">
        <w:t xml:space="preserve"> a survey of 4 million seconds is </w:t>
      </w:r>
      <w:r w:rsidR="00866933">
        <w:t xml:space="preserve">too long and </w:t>
      </w:r>
      <w:r w:rsidR="00611A72">
        <w:t>unrealistic of any time that would be granted on a telescope in such incredibly high demand as the JWST will be upon its launch.</w:t>
      </w:r>
    </w:p>
    <w:p w:rsidR="00611A72" w:rsidRDefault="00611A72" w:rsidP="00D12E28"/>
    <w:p w:rsidR="00611A72" w:rsidRDefault="00611A72" w:rsidP="00D12E28"/>
    <w:p w:rsidR="00611A72" w:rsidRDefault="00611A72" w:rsidP="00D12E28"/>
    <w:tbl>
      <w:tblPr>
        <w:tblStyle w:val="TableGrid"/>
        <w:tblW w:w="0" w:type="auto"/>
        <w:jc w:val="center"/>
        <w:tblLook w:val="04A0"/>
      </w:tblPr>
      <w:tblGrid>
        <w:gridCol w:w="1064"/>
        <w:gridCol w:w="1329"/>
        <w:gridCol w:w="1552"/>
      </w:tblGrid>
      <w:tr w:rsidR="00611A72" w:rsidRPr="00217B74" w:rsidTr="00611A72">
        <w:trPr>
          <w:trHeight w:val="315"/>
          <w:jc w:val="center"/>
        </w:trPr>
        <w:tc>
          <w:tcPr>
            <w:tcW w:w="1053" w:type="dxa"/>
            <w:vMerge w:val="restart"/>
          </w:tcPr>
          <w:p w:rsidR="00611A72" w:rsidRPr="00611A72" w:rsidRDefault="00611A72">
            <w:pPr>
              <w:rPr>
                <w:b/>
              </w:rPr>
            </w:pPr>
            <w:r w:rsidRPr="00611A72">
              <w:rPr>
                <w:b/>
              </w:rPr>
              <w:t>Pointings</w:t>
            </w:r>
          </w:p>
        </w:tc>
        <w:tc>
          <w:tcPr>
            <w:tcW w:w="1232" w:type="dxa"/>
            <w:noWrap/>
            <w:hideMark/>
          </w:tcPr>
          <w:p w:rsidR="00611A72" w:rsidRPr="00611A72" w:rsidRDefault="00611A72">
            <w:pPr>
              <w:rPr>
                <w:b/>
              </w:rPr>
            </w:pPr>
            <w:r w:rsidRPr="00611A72">
              <w:rPr>
                <w:b/>
              </w:rPr>
              <w:t>No. of galaxies in 2x10</w:t>
            </w:r>
            <w:r w:rsidRPr="00611A72">
              <w:rPr>
                <w:b/>
                <w:vertAlign w:val="superscript"/>
              </w:rPr>
              <w:t>6</w:t>
            </w:r>
            <w:r w:rsidRPr="00611A72">
              <w:rPr>
                <w:b/>
              </w:rPr>
              <w:t>s survey</w:t>
            </w:r>
          </w:p>
        </w:tc>
        <w:tc>
          <w:tcPr>
            <w:tcW w:w="1232" w:type="dxa"/>
            <w:noWrap/>
            <w:hideMark/>
          </w:tcPr>
          <w:p w:rsidR="00611A72" w:rsidRPr="00611A72" w:rsidRDefault="00611A72">
            <w:pPr>
              <w:rPr>
                <w:b/>
              </w:rPr>
            </w:pPr>
            <w:r w:rsidRPr="00611A72">
              <w:rPr>
                <w:b/>
              </w:rPr>
              <w:t>No. of galaxies in 4x10</w:t>
            </w:r>
            <w:r w:rsidRPr="00611A72">
              <w:rPr>
                <w:b/>
                <w:vertAlign w:val="superscript"/>
              </w:rPr>
              <w:t>6</w:t>
            </w:r>
            <w:r w:rsidRPr="00611A72">
              <w:rPr>
                <w:b/>
              </w:rPr>
              <w:t>s survey</w:t>
            </w:r>
          </w:p>
        </w:tc>
      </w:tr>
      <w:tr w:rsidR="00611A72" w:rsidRPr="00217B74" w:rsidTr="00611A72">
        <w:trPr>
          <w:trHeight w:val="315"/>
          <w:jc w:val="center"/>
        </w:trPr>
        <w:tc>
          <w:tcPr>
            <w:tcW w:w="1053" w:type="dxa"/>
            <w:vMerge/>
          </w:tcPr>
          <w:p w:rsidR="00611A72" w:rsidRPr="00611A72" w:rsidRDefault="00611A72">
            <w:pPr>
              <w:rPr>
                <w:b/>
              </w:rPr>
            </w:pPr>
          </w:p>
        </w:tc>
        <w:tc>
          <w:tcPr>
            <w:tcW w:w="1232" w:type="dxa"/>
            <w:noWrap/>
            <w:hideMark/>
          </w:tcPr>
          <w:p w:rsidR="00611A72" w:rsidRPr="00611A72" w:rsidRDefault="00611A72">
            <w:pPr>
              <w:rPr>
                <w:b/>
              </w:rPr>
            </w:pPr>
            <w:r>
              <w:rPr>
                <w:b/>
              </w:rPr>
              <w:t xml:space="preserve">Z= </w:t>
            </w:r>
            <w:r w:rsidRPr="00611A72">
              <w:rPr>
                <w:b/>
              </w:rPr>
              <w:t>10-15</w:t>
            </w:r>
          </w:p>
        </w:tc>
        <w:tc>
          <w:tcPr>
            <w:tcW w:w="1232" w:type="dxa"/>
            <w:noWrap/>
            <w:hideMark/>
          </w:tcPr>
          <w:p w:rsidR="00611A72" w:rsidRPr="00611A72" w:rsidRDefault="00611A72">
            <w:pPr>
              <w:rPr>
                <w:b/>
              </w:rPr>
            </w:pPr>
            <w:r>
              <w:rPr>
                <w:b/>
              </w:rPr>
              <w:t xml:space="preserve">Z= </w:t>
            </w:r>
            <w:r w:rsidRPr="00611A72">
              <w:rPr>
                <w:b/>
              </w:rPr>
              <w:t>10-15</w:t>
            </w:r>
          </w:p>
        </w:tc>
      </w:tr>
      <w:tr w:rsidR="00611A72" w:rsidRPr="00217B74" w:rsidTr="00611A72">
        <w:trPr>
          <w:trHeight w:val="300"/>
          <w:jc w:val="center"/>
        </w:trPr>
        <w:tc>
          <w:tcPr>
            <w:tcW w:w="1053" w:type="dxa"/>
          </w:tcPr>
          <w:p w:rsidR="00611A72" w:rsidRPr="00611A72" w:rsidRDefault="00611A72" w:rsidP="00611A72">
            <w:pPr>
              <w:rPr>
                <w:b/>
              </w:rPr>
            </w:pPr>
            <w:r w:rsidRPr="00611A72">
              <w:rPr>
                <w:b/>
              </w:rPr>
              <w:t>1</w:t>
            </w:r>
          </w:p>
        </w:tc>
        <w:tc>
          <w:tcPr>
            <w:tcW w:w="1232" w:type="dxa"/>
            <w:noWrap/>
            <w:hideMark/>
          </w:tcPr>
          <w:p w:rsidR="00611A72" w:rsidRPr="00217B74" w:rsidRDefault="006753B9" w:rsidP="00217B74">
            <w:r>
              <w:t>59.04</w:t>
            </w:r>
            <w:r w:rsidR="00E44FEA">
              <w:t>±82.66</w:t>
            </w:r>
          </w:p>
        </w:tc>
        <w:tc>
          <w:tcPr>
            <w:tcW w:w="1232" w:type="dxa"/>
            <w:noWrap/>
            <w:hideMark/>
          </w:tcPr>
          <w:p w:rsidR="00611A72" w:rsidRPr="00217B74" w:rsidRDefault="006753B9" w:rsidP="00217B74">
            <w:r>
              <w:t>94.89</w:t>
            </w:r>
            <w:r w:rsidR="00E44FEA">
              <w:t>±132.85</w:t>
            </w:r>
          </w:p>
        </w:tc>
      </w:tr>
      <w:tr w:rsidR="00611A72" w:rsidRPr="00217B74" w:rsidTr="00611A72">
        <w:trPr>
          <w:trHeight w:val="300"/>
          <w:jc w:val="center"/>
        </w:trPr>
        <w:tc>
          <w:tcPr>
            <w:tcW w:w="1053" w:type="dxa"/>
          </w:tcPr>
          <w:p w:rsidR="00611A72" w:rsidRPr="00611A72" w:rsidRDefault="00611A72" w:rsidP="00217B74">
            <w:pPr>
              <w:rPr>
                <w:b/>
              </w:rPr>
            </w:pPr>
            <w:r w:rsidRPr="00611A72">
              <w:rPr>
                <w:b/>
              </w:rPr>
              <w:t>2</w:t>
            </w:r>
          </w:p>
        </w:tc>
        <w:tc>
          <w:tcPr>
            <w:tcW w:w="1232" w:type="dxa"/>
            <w:noWrap/>
            <w:hideMark/>
          </w:tcPr>
          <w:p w:rsidR="00611A72" w:rsidRPr="00217B74" w:rsidRDefault="006753B9" w:rsidP="00217B74">
            <w:r>
              <w:t>70.24</w:t>
            </w:r>
            <w:r w:rsidR="00E44FEA">
              <w:t>±69.54</w:t>
            </w:r>
          </w:p>
        </w:tc>
        <w:tc>
          <w:tcPr>
            <w:tcW w:w="1232" w:type="dxa"/>
            <w:noWrap/>
            <w:hideMark/>
          </w:tcPr>
          <w:p w:rsidR="00611A72" w:rsidRPr="00217B74" w:rsidRDefault="006753B9" w:rsidP="00217B74">
            <w:r>
              <w:t>118.08</w:t>
            </w:r>
            <w:r w:rsidR="00E44FEA">
              <w:t>±116.90</w:t>
            </w:r>
          </w:p>
        </w:tc>
      </w:tr>
      <w:tr w:rsidR="00611A72" w:rsidRPr="00217B74" w:rsidTr="00611A72">
        <w:trPr>
          <w:trHeight w:val="300"/>
          <w:jc w:val="center"/>
        </w:trPr>
        <w:tc>
          <w:tcPr>
            <w:tcW w:w="1053" w:type="dxa"/>
          </w:tcPr>
          <w:p w:rsidR="00611A72" w:rsidRPr="00611A72" w:rsidRDefault="00611A72" w:rsidP="00217B74">
            <w:pPr>
              <w:rPr>
                <w:b/>
              </w:rPr>
            </w:pPr>
            <w:r w:rsidRPr="00611A72">
              <w:rPr>
                <w:b/>
              </w:rPr>
              <w:t>3</w:t>
            </w:r>
          </w:p>
        </w:tc>
        <w:tc>
          <w:tcPr>
            <w:tcW w:w="1232" w:type="dxa"/>
            <w:noWrap/>
            <w:hideMark/>
          </w:tcPr>
          <w:p w:rsidR="00611A72" w:rsidRPr="00217B74" w:rsidRDefault="006753B9" w:rsidP="00217B74">
            <w:r>
              <w:t>79.63</w:t>
            </w:r>
            <w:r w:rsidR="00E44FEA">
              <w:t>±64.38</w:t>
            </w:r>
          </w:p>
        </w:tc>
        <w:tc>
          <w:tcPr>
            <w:tcW w:w="1232" w:type="dxa"/>
            <w:noWrap/>
            <w:hideMark/>
          </w:tcPr>
          <w:p w:rsidR="00611A72" w:rsidRPr="00217B74" w:rsidRDefault="006753B9" w:rsidP="00217B74">
            <w:r>
              <w:t>137.47</w:t>
            </w:r>
            <w:r w:rsidR="00E44FEA">
              <w:t>±111.14</w:t>
            </w:r>
          </w:p>
        </w:tc>
      </w:tr>
      <w:tr w:rsidR="00611A72" w:rsidRPr="00217B74" w:rsidTr="00611A72">
        <w:trPr>
          <w:trHeight w:val="300"/>
          <w:jc w:val="center"/>
        </w:trPr>
        <w:tc>
          <w:tcPr>
            <w:tcW w:w="1053" w:type="dxa"/>
          </w:tcPr>
          <w:p w:rsidR="00611A72" w:rsidRPr="00611A72" w:rsidRDefault="00611A72" w:rsidP="00217B74">
            <w:pPr>
              <w:rPr>
                <w:b/>
              </w:rPr>
            </w:pPr>
            <w:r w:rsidRPr="00611A72">
              <w:rPr>
                <w:b/>
              </w:rPr>
              <w:t>4</w:t>
            </w:r>
          </w:p>
        </w:tc>
        <w:tc>
          <w:tcPr>
            <w:tcW w:w="1232" w:type="dxa"/>
            <w:noWrap/>
            <w:hideMark/>
          </w:tcPr>
          <w:p w:rsidR="00611A72" w:rsidRPr="00217B74" w:rsidRDefault="006753B9" w:rsidP="00217B74">
            <w:r>
              <w:t>78.98</w:t>
            </w:r>
            <w:r w:rsidR="00E44FEA">
              <w:t>±55.29</w:t>
            </w:r>
          </w:p>
        </w:tc>
        <w:tc>
          <w:tcPr>
            <w:tcW w:w="1232" w:type="dxa"/>
            <w:noWrap/>
            <w:hideMark/>
          </w:tcPr>
          <w:p w:rsidR="00611A72" w:rsidRPr="00217B74" w:rsidRDefault="006753B9" w:rsidP="00217B74">
            <w:r>
              <w:t>140.48</w:t>
            </w:r>
            <w:r w:rsidR="00E44FEA">
              <w:t>±98.34</w:t>
            </w:r>
          </w:p>
        </w:tc>
      </w:tr>
      <w:tr w:rsidR="00611A72" w:rsidRPr="00217B74" w:rsidTr="00611A72">
        <w:trPr>
          <w:trHeight w:val="300"/>
          <w:jc w:val="center"/>
        </w:trPr>
        <w:tc>
          <w:tcPr>
            <w:tcW w:w="1053" w:type="dxa"/>
          </w:tcPr>
          <w:p w:rsidR="00611A72" w:rsidRPr="00611A72" w:rsidRDefault="00611A72" w:rsidP="00217B74">
            <w:pPr>
              <w:rPr>
                <w:b/>
              </w:rPr>
            </w:pPr>
            <w:r w:rsidRPr="00611A72">
              <w:rPr>
                <w:b/>
              </w:rPr>
              <w:t>5</w:t>
            </w:r>
          </w:p>
        </w:tc>
        <w:tc>
          <w:tcPr>
            <w:tcW w:w="1232" w:type="dxa"/>
            <w:noWrap/>
            <w:hideMark/>
          </w:tcPr>
          <w:p w:rsidR="00611A72" w:rsidRPr="00217B74" w:rsidRDefault="006753B9" w:rsidP="00217B74">
            <w:r>
              <w:t>84.60</w:t>
            </w:r>
            <w:r w:rsidR="00E44FEA">
              <w:t>±52.96</w:t>
            </w:r>
          </w:p>
        </w:tc>
        <w:tc>
          <w:tcPr>
            <w:tcW w:w="1232" w:type="dxa"/>
            <w:noWrap/>
            <w:hideMark/>
          </w:tcPr>
          <w:p w:rsidR="00611A72" w:rsidRPr="00217B74" w:rsidRDefault="006753B9" w:rsidP="00217B74">
            <w:r>
              <w:t>152.94</w:t>
            </w:r>
            <w:r w:rsidR="00E44FEA">
              <w:t>±95.85</w:t>
            </w:r>
          </w:p>
        </w:tc>
      </w:tr>
      <w:tr w:rsidR="00611A72" w:rsidRPr="00217B74" w:rsidTr="00611A72">
        <w:trPr>
          <w:trHeight w:val="315"/>
          <w:jc w:val="center"/>
        </w:trPr>
        <w:tc>
          <w:tcPr>
            <w:tcW w:w="1053" w:type="dxa"/>
          </w:tcPr>
          <w:p w:rsidR="00611A72" w:rsidRPr="00611A72" w:rsidRDefault="00611A72" w:rsidP="00217B74">
            <w:pPr>
              <w:rPr>
                <w:b/>
              </w:rPr>
            </w:pPr>
            <w:r w:rsidRPr="00611A72">
              <w:rPr>
                <w:b/>
              </w:rPr>
              <w:t>10</w:t>
            </w:r>
          </w:p>
        </w:tc>
        <w:tc>
          <w:tcPr>
            <w:tcW w:w="1232" w:type="dxa"/>
            <w:noWrap/>
            <w:hideMark/>
          </w:tcPr>
          <w:p w:rsidR="00611A72" w:rsidRPr="00217B74" w:rsidRDefault="006753B9" w:rsidP="00217B74">
            <w:r>
              <w:t>86.80</w:t>
            </w:r>
            <w:r w:rsidR="00E44FEA">
              <w:t>±38.44</w:t>
            </w:r>
          </w:p>
        </w:tc>
        <w:tc>
          <w:tcPr>
            <w:tcW w:w="1232" w:type="dxa"/>
            <w:noWrap/>
            <w:hideMark/>
          </w:tcPr>
          <w:p w:rsidR="00611A72" w:rsidRPr="00217B74" w:rsidRDefault="006753B9" w:rsidP="00217B74">
            <w:r>
              <w:t>169.20</w:t>
            </w:r>
            <w:r w:rsidR="00E44FEA">
              <w:t>±74.93</w:t>
            </w:r>
          </w:p>
        </w:tc>
      </w:tr>
    </w:tbl>
    <w:p w:rsidR="00217B74" w:rsidRDefault="00217B74" w:rsidP="00217B74">
      <w:pPr>
        <w:jc w:val="center"/>
      </w:pPr>
    </w:p>
    <w:p w:rsidR="00667B67" w:rsidRPr="00667B67" w:rsidRDefault="00667B67" w:rsidP="00217B74">
      <w:pPr>
        <w:jc w:val="center"/>
      </w:pPr>
      <w:r>
        <w:t xml:space="preserve">Caption: Table of galaxies observed for resolving limits of </w:t>
      </w:r>
      <w:proofErr w:type="spellStart"/>
      <w:proofErr w:type="gramStart"/>
      <w:r>
        <w:t>z</w:t>
      </w:r>
      <w:r>
        <w:rPr>
          <w:vertAlign w:val="subscript"/>
        </w:rPr>
        <w:t>r</w:t>
      </w:r>
      <w:proofErr w:type="spellEnd"/>
      <w:r>
        <w:t>=</w:t>
      </w:r>
      <w:proofErr w:type="gramEnd"/>
      <w:r>
        <w:t>12 and 14</w:t>
      </w:r>
    </w:p>
    <w:p w:rsidR="00D12E28" w:rsidRDefault="000E5A7A" w:rsidP="00D12E28">
      <w:r>
        <w:t xml:space="preserve">Using </w:t>
      </w:r>
      <w:r w:rsidR="00667B67">
        <w:t>the method described in section</w:t>
      </w:r>
      <w:r w:rsidR="006753B9">
        <w:t xml:space="preserve"> </w:t>
      </w:r>
      <w:r w:rsidR="00667B67">
        <w:t>(method for strategy choosing)</w:t>
      </w:r>
      <w:r>
        <w:t xml:space="preserve"> magnitude limits </w:t>
      </w:r>
      <w:r w:rsidR="00324D41">
        <w:t>were found for the resolving limit</w:t>
      </w:r>
      <w:r>
        <w:t xml:space="preserve"> set at </w:t>
      </w:r>
      <w:r w:rsidR="00D12E28">
        <w:t xml:space="preserve">S/N=5, </w:t>
      </w:r>
      <w:r w:rsidR="00324D41">
        <w:t>z=</w:t>
      </w:r>
      <w:r w:rsidR="0084660C">
        <w:t>12 &amp; 14 for a</w:t>
      </w:r>
      <w:r w:rsidR="00667B67">
        <w:t xml:space="preserve"> range of survey sizes. </w:t>
      </w:r>
      <w:proofErr w:type="gramStart"/>
      <w:r w:rsidR="00667B67">
        <w:t>Table(</w:t>
      </w:r>
      <w:proofErr w:type="gramEnd"/>
      <w:r w:rsidR="00667B67">
        <w:t>below)</w:t>
      </w:r>
      <w:r w:rsidR="0084660C">
        <w:t xml:space="preserve"> shows magnitudes for the </w:t>
      </w:r>
      <w:r w:rsidR="00C13008">
        <w:t>2</w:t>
      </w:r>
      <w:r w:rsidR="00866933">
        <w:t xml:space="preserve"> million second survey</w:t>
      </w:r>
      <w:r w:rsidR="0084336E">
        <w:t xml:space="preserve"> with a resolving limit of </w:t>
      </w:r>
      <w:proofErr w:type="spellStart"/>
      <w:r w:rsidR="0084336E">
        <w:t>z</w:t>
      </w:r>
      <w:r w:rsidR="00E44FEA">
        <w:rPr>
          <w:vertAlign w:val="subscript"/>
        </w:rPr>
        <w:t>r</w:t>
      </w:r>
      <w:proofErr w:type="spellEnd"/>
      <w:r w:rsidR="00E44FEA">
        <w:rPr>
          <w:vertAlign w:val="subscript"/>
        </w:rPr>
        <w:softHyphen/>
      </w:r>
      <w:r w:rsidR="0084336E">
        <w:t>=12</w:t>
      </w:r>
      <w:r w:rsidR="00866933">
        <w:t>.</w:t>
      </w:r>
    </w:p>
    <w:p w:rsidR="008115BF" w:rsidRDefault="008115BF" w:rsidP="008115BF">
      <w:pPr>
        <w:jc w:val="center"/>
      </w:pPr>
      <w:r w:rsidRPr="008115BF">
        <w:rPr>
          <w:noProof/>
          <w:lang w:eastAsia="en-GB"/>
        </w:rPr>
        <w:drawing>
          <wp:inline distT="0" distB="0" distL="0" distR="0">
            <wp:extent cx="4572000" cy="2743200"/>
            <wp:effectExtent l="0" t="0" r="0" b="0"/>
            <wp:docPr id="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115BF" w:rsidRDefault="00866933" w:rsidP="00D12E28">
      <w:r>
        <w:t>Caption: A graph showing how the survey depth changes with the number of pointings</w:t>
      </w:r>
    </w:p>
    <w:tbl>
      <w:tblPr>
        <w:tblStyle w:val="TableGrid"/>
        <w:tblW w:w="0" w:type="auto"/>
        <w:jc w:val="center"/>
        <w:tblLook w:val="04A0"/>
      </w:tblPr>
      <w:tblGrid>
        <w:gridCol w:w="950"/>
        <w:gridCol w:w="1304"/>
      </w:tblGrid>
      <w:tr w:rsidR="00866933" w:rsidRPr="00866933" w:rsidTr="00B96C48">
        <w:trPr>
          <w:jc w:val="center"/>
        </w:trPr>
        <w:tc>
          <w:tcPr>
            <w:tcW w:w="950" w:type="dxa"/>
          </w:tcPr>
          <w:p w:rsidR="00866933" w:rsidRPr="00866933" w:rsidRDefault="00866933" w:rsidP="00D12E28">
            <w:pPr>
              <w:rPr>
                <w:b/>
                <w:color w:val="FF0000"/>
              </w:rPr>
            </w:pPr>
            <w:r w:rsidRPr="00866933">
              <w:rPr>
                <w:b/>
                <w:color w:val="FF0000"/>
              </w:rPr>
              <w:t>F.O.V’s</w:t>
            </w:r>
          </w:p>
        </w:tc>
        <w:tc>
          <w:tcPr>
            <w:tcW w:w="1304" w:type="dxa"/>
          </w:tcPr>
          <w:p w:rsidR="00866933" w:rsidRPr="00866933" w:rsidRDefault="00866933" w:rsidP="0084660C">
            <w:pPr>
              <w:rPr>
                <w:b/>
                <w:color w:val="FF0000"/>
              </w:rPr>
            </w:pPr>
            <w:r w:rsidRPr="00866933">
              <w:rPr>
                <w:b/>
                <w:color w:val="FF0000"/>
              </w:rPr>
              <w:t>Magnitude limit</w:t>
            </w:r>
          </w:p>
        </w:tc>
      </w:tr>
      <w:tr w:rsidR="00866933" w:rsidRPr="00866933" w:rsidTr="00B96C48">
        <w:trPr>
          <w:jc w:val="center"/>
        </w:trPr>
        <w:tc>
          <w:tcPr>
            <w:tcW w:w="950" w:type="dxa"/>
          </w:tcPr>
          <w:p w:rsidR="00866933" w:rsidRPr="00866933" w:rsidRDefault="00866933" w:rsidP="00D12E28">
            <w:pPr>
              <w:rPr>
                <w:b/>
                <w:color w:val="FF0000"/>
              </w:rPr>
            </w:pPr>
            <w:r w:rsidRPr="00866933">
              <w:rPr>
                <w:b/>
                <w:color w:val="FF0000"/>
              </w:rPr>
              <w:t>1</w:t>
            </w:r>
          </w:p>
        </w:tc>
        <w:tc>
          <w:tcPr>
            <w:tcW w:w="1304" w:type="dxa"/>
          </w:tcPr>
          <w:p w:rsidR="00866933" w:rsidRPr="00866933" w:rsidRDefault="00866933" w:rsidP="00D12E28">
            <w:pPr>
              <w:rPr>
                <w:color w:val="FF0000"/>
              </w:rPr>
            </w:pPr>
            <w:r w:rsidRPr="00866933">
              <w:rPr>
                <w:color w:val="FF0000"/>
              </w:rPr>
              <w:t>32.95</w:t>
            </w:r>
          </w:p>
        </w:tc>
      </w:tr>
      <w:tr w:rsidR="00866933" w:rsidRPr="00866933" w:rsidTr="00B96C48">
        <w:trPr>
          <w:jc w:val="center"/>
        </w:trPr>
        <w:tc>
          <w:tcPr>
            <w:tcW w:w="950" w:type="dxa"/>
          </w:tcPr>
          <w:p w:rsidR="00866933" w:rsidRPr="00866933" w:rsidRDefault="00866933" w:rsidP="00D12E28">
            <w:pPr>
              <w:rPr>
                <w:b/>
                <w:color w:val="FF0000"/>
              </w:rPr>
            </w:pPr>
            <w:r w:rsidRPr="00866933">
              <w:rPr>
                <w:b/>
                <w:color w:val="FF0000"/>
              </w:rPr>
              <w:t>2</w:t>
            </w:r>
          </w:p>
        </w:tc>
        <w:tc>
          <w:tcPr>
            <w:tcW w:w="1304" w:type="dxa"/>
          </w:tcPr>
          <w:p w:rsidR="00866933" w:rsidRPr="00866933" w:rsidRDefault="00866933" w:rsidP="00D12E28">
            <w:pPr>
              <w:rPr>
                <w:color w:val="FF0000"/>
              </w:rPr>
            </w:pPr>
            <w:r w:rsidRPr="00866933">
              <w:rPr>
                <w:color w:val="FF0000"/>
              </w:rPr>
              <w:t>32.55</w:t>
            </w:r>
          </w:p>
        </w:tc>
      </w:tr>
      <w:tr w:rsidR="00866933" w:rsidRPr="00866933" w:rsidTr="00B96C48">
        <w:trPr>
          <w:jc w:val="center"/>
        </w:trPr>
        <w:tc>
          <w:tcPr>
            <w:tcW w:w="950" w:type="dxa"/>
          </w:tcPr>
          <w:p w:rsidR="00866933" w:rsidRPr="00866933" w:rsidRDefault="00866933" w:rsidP="00D12E28">
            <w:pPr>
              <w:rPr>
                <w:b/>
                <w:color w:val="FF0000"/>
              </w:rPr>
            </w:pPr>
            <w:r w:rsidRPr="00866933">
              <w:rPr>
                <w:b/>
                <w:color w:val="FF0000"/>
              </w:rPr>
              <w:t>3</w:t>
            </w:r>
          </w:p>
        </w:tc>
        <w:tc>
          <w:tcPr>
            <w:tcW w:w="1304" w:type="dxa"/>
          </w:tcPr>
          <w:p w:rsidR="00866933" w:rsidRPr="00866933" w:rsidRDefault="00866933" w:rsidP="00D12E28">
            <w:pPr>
              <w:rPr>
                <w:color w:val="FF0000"/>
              </w:rPr>
            </w:pPr>
            <w:r w:rsidRPr="00866933">
              <w:rPr>
                <w:color w:val="FF0000"/>
              </w:rPr>
              <w:t>32.35</w:t>
            </w:r>
          </w:p>
        </w:tc>
      </w:tr>
      <w:tr w:rsidR="00866933" w:rsidRPr="00866933" w:rsidTr="00B96C48">
        <w:trPr>
          <w:jc w:val="center"/>
        </w:trPr>
        <w:tc>
          <w:tcPr>
            <w:tcW w:w="950" w:type="dxa"/>
          </w:tcPr>
          <w:p w:rsidR="00866933" w:rsidRPr="00866933" w:rsidRDefault="00866933" w:rsidP="00D12E28">
            <w:pPr>
              <w:rPr>
                <w:b/>
                <w:color w:val="FF0000"/>
              </w:rPr>
            </w:pPr>
            <w:r w:rsidRPr="00866933">
              <w:rPr>
                <w:b/>
                <w:color w:val="FF0000"/>
              </w:rPr>
              <w:t>4</w:t>
            </w:r>
          </w:p>
        </w:tc>
        <w:tc>
          <w:tcPr>
            <w:tcW w:w="1304" w:type="dxa"/>
          </w:tcPr>
          <w:p w:rsidR="00866933" w:rsidRPr="00866933" w:rsidRDefault="00866933" w:rsidP="00D12E28">
            <w:pPr>
              <w:rPr>
                <w:color w:val="FF0000"/>
              </w:rPr>
            </w:pPr>
            <w:r w:rsidRPr="00866933">
              <w:rPr>
                <w:color w:val="FF0000"/>
              </w:rPr>
              <w:t>32.15</w:t>
            </w:r>
          </w:p>
        </w:tc>
      </w:tr>
      <w:tr w:rsidR="00866933" w:rsidRPr="00866933" w:rsidTr="00B96C48">
        <w:trPr>
          <w:jc w:val="center"/>
        </w:trPr>
        <w:tc>
          <w:tcPr>
            <w:tcW w:w="950" w:type="dxa"/>
          </w:tcPr>
          <w:p w:rsidR="00866933" w:rsidRPr="00866933" w:rsidRDefault="00866933" w:rsidP="00D12E28">
            <w:pPr>
              <w:rPr>
                <w:b/>
                <w:color w:val="FF0000"/>
              </w:rPr>
            </w:pPr>
            <w:r w:rsidRPr="00866933">
              <w:rPr>
                <w:b/>
                <w:color w:val="FF0000"/>
              </w:rPr>
              <w:t>5</w:t>
            </w:r>
          </w:p>
        </w:tc>
        <w:tc>
          <w:tcPr>
            <w:tcW w:w="1304" w:type="dxa"/>
          </w:tcPr>
          <w:p w:rsidR="00866933" w:rsidRPr="00866933" w:rsidRDefault="00866933" w:rsidP="00D12E28">
            <w:pPr>
              <w:rPr>
                <w:color w:val="FF0000"/>
              </w:rPr>
            </w:pPr>
            <w:r w:rsidRPr="00866933">
              <w:rPr>
                <w:color w:val="FF0000"/>
              </w:rPr>
              <w:t>32.05</w:t>
            </w:r>
          </w:p>
        </w:tc>
      </w:tr>
      <w:tr w:rsidR="00866933" w:rsidRPr="00866933" w:rsidTr="00B96C48">
        <w:trPr>
          <w:jc w:val="center"/>
        </w:trPr>
        <w:tc>
          <w:tcPr>
            <w:tcW w:w="950" w:type="dxa"/>
          </w:tcPr>
          <w:p w:rsidR="00866933" w:rsidRPr="00866933" w:rsidRDefault="00866933" w:rsidP="00D12E28">
            <w:pPr>
              <w:rPr>
                <w:b/>
                <w:color w:val="FF0000"/>
              </w:rPr>
            </w:pPr>
            <w:r w:rsidRPr="00866933">
              <w:rPr>
                <w:b/>
                <w:color w:val="FF0000"/>
              </w:rPr>
              <w:t>10</w:t>
            </w:r>
          </w:p>
        </w:tc>
        <w:tc>
          <w:tcPr>
            <w:tcW w:w="1304" w:type="dxa"/>
          </w:tcPr>
          <w:p w:rsidR="00866933" w:rsidRPr="00866933" w:rsidRDefault="00866933" w:rsidP="00D12E28">
            <w:pPr>
              <w:rPr>
                <w:color w:val="FF0000"/>
              </w:rPr>
            </w:pPr>
            <w:r w:rsidRPr="00866933">
              <w:rPr>
                <w:color w:val="FF0000"/>
              </w:rPr>
              <w:t>31.65</w:t>
            </w:r>
          </w:p>
        </w:tc>
      </w:tr>
      <w:tr w:rsidR="00866933" w:rsidRPr="00866933" w:rsidTr="00B96C48">
        <w:trPr>
          <w:jc w:val="center"/>
        </w:trPr>
        <w:tc>
          <w:tcPr>
            <w:tcW w:w="950" w:type="dxa"/>
          </w:tcPr>
          <w:p w:rsidR="00866933" w:rsidRPr="00866933" w:rsidRDefault="00866933" w:rsidP="00D12E28">
            <w:pPr>
              <w:rPr>
                <w:b/>
                <w:color w:val="FF0000"/>
              </w:rPr>
            </w:pPr>
            <w:r w:rsidRPr="00866933">
              <w:rPr>
                <w:b/>
                <w:color w:val="FF0000"/>
              </w:rPr>
              <w:t>12</w:t>
            </w:r>
          </w:p>
        </w:tc>
        <w:tc>
          <w:tcPr>
            <w:tcW w:w="1304" w:type="dxa"/>
          </w:tcPr>
          <w:p w:rsidR="00866933" w:rsidRPr="00866933" w:rsidRDefault="00866933" w:rsidP="00D12E28">
            <w:pPr>
              <w:rPr>
                <w:color w:val="FF0000"/>
              </w:rPr>
            </w:pPr>
            <w:r w:rsidRPr="00866933">
              <w:rPr>
                <w:color w:val="FF0000"/>
              </w:rPr>
              <w:t>31.55</w:t>
            </w:r>
          </w:p>
        </w:tc>
      </w:tr>
      <w:tr w:rsidR="00866933" w:rsidRPr="00866933" w:rsidTr="00B96C48">
        <w:trPr>
          <w:jc w:val="center"/>
        </w:trPr>
        <w:tc>
          <w:tcPr>
            <w:tcW w:w="950" w:type="dxa"/>
          </w:tcPr>
          <w:p w:rsidR="00866933" w:rsidRPr="00866933" w:rsidRDefault="00866933" w:rsidP="00D12E28">
            <w:pPr>
              <w:rPr>
                <w:b/>
                <w:color w:val="FF0000"/>
              </w:rPr>
            </w:pPr>
            <w:r w:rsidRPr="00866933">
              <w:rPr>
                <w:b/>
                <w:color w:val="FF0000"/>
              </w:rPr>
              <w:t>15</w:t>
            </w:r>
          </w:p>
        </w:tc>
        <w:tc>
          <w:tcPr>
            <w:tcW w:w="1304" w:type="dxa"/>
          </w:tcPr>
          <w:p w:rsidR="00866933" w:rsidRPr="00866933" w:rsidRDefault="00866933" w:rsidP="00D12E28">
            <w:pPr>
              <w:rPr>
                <w:color w:val="FF0000"/>
              </w:rPr>
            </w:pPr>
            <w:r w:rsidRPr="00866933">
              <w:rPr>
                <w:color w:val="FF0000"/>
              </w:rPr>
              <w:t>31.4</w:t>
            </w:r>
          </w:p>
        </w:tc>
      </w:tr>
    </w:tbl>
    <w:p w:rsidR="00D12E28" w:rsidRDefault="00D12E28" w:rsidP="00CE4424"/>
    <w:p w:rsidR="000C23F4" w:rsidRDefault="00D12E28" w:rsidP="00E44FEA">
      <w:r>
        <w:t>Using these in conjunction with the predictions</w:t>
      </w:r>
      <w:r w:rsidR="00CD49A7">
        <w:t xml:space="preserve"> group’s</w:t>
      </w:r>
      <w:r>
        <w:t xml:space="preserve"> program the number of galaxies observed was found for each</w:t>
      </w:r>
      <w:r w:rsidR="000E5A7A">
        <w:t xml:space="preserve"> </w:t>
      </w:r>
      <w:r>
        <w:t xml:space="preserve">scenario. </w:t>
      </w:r>
      <w:r w:rsidR="000C23F4">
        <w:t xml:space="preserve">These numbers are given in </w:t>
      </w:r>
      <w:proofErr w:type="gramStart"/>
      <w:r w:rsidR="000C23F4">
        <w:t>tabl</w:t>
      </w:r>
      <w:r w:rsidR="00667B67">
        <w:t>e(</w:t>
      </w:r>
      <w:proofErr w:type="gramEnd"/>
      <w:r w:rsidR="00667B67">
        <w:t>below)</w:t>
      </w:r>
      <w:r w:rsidR="00AE308C">
        <w:t xml:space="preserve"> for the range of data in </w:t>
      </w:r>
      <w:r w:rsidR="00667B67">
        <w:t>fig(above)</w:t>
      </w:r>
      <w:r w:rsidR="00E44FEA">
        <w:t xml:space="preserve"> and for </w:t>
      </w:r>
      <w:proofErr w:type="spellStart"/>
      <w:r w:rsidR="00E44FEA">
        <w:t>z</w:t>
      </w:r>
      <w:r w:rsidR="00E44FEA">
        <w:rPr>
          <w:vertAlign w:val="subscript"/>
        </w:rPr>
        <w:t>r</w:t>
      </w:r>
      <w:proofErr w:type="spellEnd"/>
      <w:r w:rsidR="00E44FEA">
        <w:t>=</w:t>
      </w:r>
      <w:r w:rsidR="0084336E">
        <w:t>14 as well.</w:t>
      </w:r>
    </w:p>
    <w:tbl>
      <w:tblPr>
        <w:tblStyle w:val="TableGrid"/>
        <w:tblW w:w="5092" w:type="dxa"/>
        <w:jc w:val="center"/>
        <w:tblLook w:val="04A0"/>
      </w:tblPr>
      <w:tblGrid>
        <w:gridCol w:w="800"/>
        <w:gridCol w:w="740"/>
        <w:gridCol w:w="740"/>
        <w:gridCol w:w="703"/>
        <w:gridCol w:w="703"/>
        <w:gridCol w:w="703"/>
        <w:gridCol w:w="703"/>
      </w:tblGrid>
      <w:tr w:rsidR="0084336E" w:rsidRPr="00611A72" w:rsidTr="0084336E">
        <w:trPr>
          <w:trHeight w:val="315"/>
          <w:jc w:val="center"/>
        </w:trPr>
        <w:tc>
          <w:tcPr>
            <w:tcW w:w="800" w:type="dxa"/>
            <w:vMerge w:val="restart"/>
            <w:noWrap/>
            <w:hideMark/>
          </w:tcPr>
          <w:p w:rsidR="0084336E" w:rsidRPr="00611A72" w:rsidRDefault="0084336E">
            <w:pPr>
              <w:rPr>
                <w:b/>
                <w:sz w:val="20"/>
              </w:rPr>
            </w:pPr>
            <w:r w:rsidRPr="00611A72">
              <w:rPr>
                <w:b/>
                <w:sz w:val="20"/>
              </w:rPr>
              <w:t>F.O.V’s</w:t>
            </w:r>
          </w:p>
        </w:tc>
        <w:tc>
          <w:tcPr>
            <w:tcW w:w="2183" w:type="dxa"/>
            <w:gridSpan w:val="3"/>
            <w:tcBorders>
              <w:left w:val="single" w:sz="12" w:space="0" w:color="auto"/>
            </w:tcBorders>
            <w:noWrap/>
            <w:hideMark/>
          </w:tcPr>
          <w:p w:rsidR="0084336E" w:rsidRPr="00611A72" w:rsidRDefault="0084336E" w:rsidP="0084336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Galaxies observed (</w:t>
            </w:r>
            <w:proofErr w:type="spellStart"/>
            <w:r>
              <w:rPr>
                <w:b/>
                <w:sz w:val="20"/>
              </w:rPr>
              <w:t>z</w:t>
            </w:r>
            <w:r>
              <w:rPr>
                <w:b/>
                <w:sz w:val="20"/>
                <w:vertAlign w:val="subscript"/>
              </w:rPr>
              <w:t>r</w:t>
            </w:r>
            <w:proofErr w:type="spellEnd"/>
            <w:r>
              <w:rPr>
                <w:b/>
                <w:sz w:val="20"/>
              </w:rPr>
              <w:t>=12)</w:t>
            </w:r>
          </w:p>
        </w:tc>
        <w:tc>
          <w:tcPr>
            <w:tcW w:w="2109" w:type="dxa"/>
            <w:gridSpan w:val="3"/>
            <w:tcBorders>
              <w:left w:val="single" w:sz="12" w:space="0" w:color="auto"/>
            </w:tcBorders>
          </w:tcPr>
          <w:p w:rsidR="0084336E" w:rsidRDefault="0084336E" w:rsidP="00611A7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Galaxies observed (</w:t>
            </w:r>
            <w:proofErr w:type="spellStart"/>
            <w:r>
              <w:rPr>
                <w:b/>
                <w:sz w:val="20"/>
              </w:rPr>
              <w:t>z</w:t>
            </w:r>
            <w:r>
              <w:rPr>
                <w:b/>
                <w:sz w:val="20"/>
                <w:vertAlign w:val="subscript"/>
              </w:rPr>
              <w:t>r</w:t>
            </w:r>
            <w:proofErr w:type="spellEnd"/>
            <w:r>
              <w:rPr>
                <w:b/>
                <w:sz w:val="20"/>
              </w:rPr>
              <w:t>=14)</w:t>
            </w:r>
          </w:p>
        </w:tc>
      </w:tr>
      <w:tr w:rsidR="0084336E" w:rsidRPr="00611A72" w:rsidTr="0084336E">
        <w:trPr>
          <w:trHeight w:val="315"/>
          <w:jc w:val="center"/>
        </w:trPr>
        <w:tc>
          <w:tcPr>
            <w:tcW w:w="800" w:type="dxa"/>
            <w:vMerge/>
            <w:noWrap/>
            <w:hideMark/>
          </w:tcPr>
          <w:p w:rsidR="0084336E" w:rsidRPr="00611A72" w:rsidRDefault="0084336E">
            <w:pPr>
              <w:rPr>
                <w:b/>
                <w:sz w:val="20"/>
              </w:rPr>
            </w:pPr>
          </w:p>
        </w:tc>
        <w:tc>
          <w:tcPr>
            <w:tcW w:w="740" w:type="dxa"/>
            <w:tcBorders>
              <w:left w:val="single" w:sz="12" w:space="0" w:color="auto"/>
            </w:tcBorders>
            <w:noWrap/>
            <w:hideMark/>
          </w:tcPr>
          <w:p w:rsidR="0084336E" w:rsidRPr="00611A72" w:rsidRDefault="0084336E">
            <w:pPr>
              <w:rPr>
                <w:b/>
                <w:sz w:val="20"/>
              </w:rPr>
            </w:pPr>
            <w:r w:rsidRPr="00611A72">
              <w:rPr>
                <w:b/>
                <w:sz w:val="20"/>
              </w:rPr>
              <w:t>10-15</w:t>
            </w:r>
          </w:p>
        </w:tc>
        <w:tc>
          <w:tcPr>
            <w:tcW w:w="740" w:type="dxa"/>
            <w:noWrap/>
            <w:hideMark/>
          </w:tcPr>
          <w:p w:rsidR="0084336E" w:rsidRPr="00611A72" w:rsidRDefault="0084336E">
            <w:pPr>
              <w:rPr>
                <w:b/>
                <w:sz w:val="20"/>
              </w:rPr>
            </w:pPr>
            <w:r w:rsidRPr="00611A72">
              <w:rPr>
                <w:b/>
                <w:sz w:val="20"/>
              </w:rPr>
              <w:t>10-12</w:t>
            </w:r>
          </w:p>
        </w:tc>
        <w:tc>
          <w:tcPr>
            <w:tcW w:w="703" w:type="dxa"/>
          </w:tcPr>
          <w:p w:rsidR="0084336E" w:rsidRPr="00611A72" w:rsidRDefault="008433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12-15</w:t>
            </w:r>
          </w:p>
        </w:tc>
        <w:tc>
          <w:tcPr>
            <w:tcW w:w="703" w:type="dxa"/>
          </w:tcPr>
          <w:p w:rsidR="0084336E" w:rsidRDefault="008433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10-15</w:t>
            </w:r>
          </w:p>
        </w:tc>
        <w:tc>
          <w:tcPr>
            <w:tcW w:w="703" w:type="dxa"/>
          </w:tcPr>
          <w:p w:rsidR="0084336E" w:rsidRDefault="008433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10-12</w:t>
            </w:r>
          </w:p>
        </w:tc>
        <w:tc>
          <w:tcPr>
            <w:tcW w:w="703" w:type="dxa"/>
          </w:tcPr>
          <w:p w:rsidR="0084336E" w:rsidRDefault="008433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12-15</w:t>
            </w:r>
          </w:p>
        </w:tc>
      </w:tr>
      <w:tr w:rsidR="0084336E" w:rsidRPr="00611A72" w:rsidTr="0084336E">
        <w:trPr>
          <w:trHeight w:val="300"/>
          <w:jc w:val="center"/>
        </w:trPr>
        <w:tc>
          <w:tcPr>
            <w:tcW w:w="800" w:type="dxa"/>
            <w:noWrap/>
            <w:hideMark/>
          </w:tcPr>
          <w:p w:rsidR="0084336E" w:rsidRPr="00611A72" w:rsidRDefault="0084336E" w:rsidP="00611A72">
            <w:pPr>
              <w:rPr>
                <w:b/>
                <w:sz w:val="20"/>
              </w:rPr>
            </w:pPr>
            <w:r w:rsidRPr="00611A72">
              <w:rPr>
                <w:b/>
                <w:sz w:val="20"/>
              </w:rPr>
              <w:t>1</w:t>
            </w:r>
          </w:p>
        </w:tc>
        <w:tc>
          <w:tcPr>
            <w:tcW w:w="740" w:type="dxa"/>
            <w:tcBorders>
              <w:left w:val="single" w:sz="12" w:space="0" w:color="auto"/>
            </w:tcBorders>
            <w:noWrap/>
            <w:hideMark/>
          </w:tcPr>
          <w:p w:rsidR="0084336E" w:rsidRPr="0084336E" w:rsidRDefault="0084336E" w:rsidP="0084336E">
            <w:pPr>
              <w:jc w:val="right"/>
              <w:rPr>
                <w:sz w:val="20"/>
                <w:szCs w:val="20"/>
              </w:rPr>
            </w:pPr>
            <w:r w:rsidRPr="0084336E">
              <w:rPr>
                <w:sz w:val="20"/>
                <w:szCs w:val="20"/>
              </w:rPr>
              <w:t>59.04</w:t>
            </w:r>
          </w:p>
        </w:tc>
        <w:tc>
          <w:tcPr>
            <w:tcW w:w="740" w:type="dxa"/>
            <w:noWrap/>
            <w:hideMark/>
          </w:tcPr>
          <w:p w:rsidR="0084336E" w:rsidRPr="0084336E" w:rsidRDefault="0084336E" w:rsidP="0084336E">
            <w:pPr>
              <w:jc w:val="right"/>
              <w:rPr>
                <w:sz w:val="20"/>
                <w:szCs w:val="20"/>
              </w:rPr>
            </w:pPr>
            <w:r w:rsidRPr="0084336E">
              <w:rPr>
                <w:sz w:val="20"/>
                <w:szCs w:val="20"/>
              </w:rPr>
              <w:t>44.32</w:t>
            </w:r>
          </w:p>
        </w:tc>
        <w:tc>
          <w:tcPr>
            <w:tcW w:w="703" w:type="dxa"/>
          </w:tcPr>
          <w:p w:rsidR="0084336E" w:rsidRPr="0084336E" w:rsidRDefault="0084336E" w:rsidP="0084336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336E">
              <w:rPr>
                <w:rFonts w:ascii="Calibri" w:hAnsi="Calibri"/>
                <w:color w:val="000000"/>
                <w:sz w:val="20"/>
                <w:szCs w:val="20"/>
              </w:rPr>
              <w:t>14.72</w:t>
            </w:r>
          </w:p>
        </w:tc>
        <w:tc>
          <w:tcPr>
            <w:tcW w:w="703" w:type="dxa"/>
          </w:tcPr>
          <w:p w:rsidR="0084336E" w:rsidRPr="0084336E" w:rsidRDefault="0084336E" w:rsidP="0084336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336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9.48</w:t>
            </w:r>
          </w:p>
        </w:tc>
        <w:tc>
          <w:tcPr>
            <w:tcW w:w="703" w:type="dxa"/>
          </w:tcPr>
          <w:p w:rsidR="0084336E" w:rsidRPr="0084336E" w:rsidRDefault="0084336E" w:rsidP="0084336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336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8.13</w:t>
            </w:r>
          </w:p>
        </w:tc>
        <w:tc>
          <w:tcPr>
            <w:tcW w:w="703" w:type="dxa"/>
          </w:tcPr>
          <w:p w:rsidR="0084336E" w:rsidRPr="0084336E" w:rsidRDefault="0084336E" w:rsidP="0084336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336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1.35</w:t>
            </w:r>
          </w:p>
        </w:tc>
      </w:tr>
      <w:tr w:rsidR="0084336E" w:rsidRPr="00611A72" w:rsidTr="0084336E">
        <w:trPr>
          <w:trHeight w:val="300"/>
          <w:jc w:val="center"/>
        </w:trPr>
        <w:tc>
          <w:tcPr>
            <w:tcW w:w="800" w:type="dxa"/>
            <w:noWrap/>
            <w:hideMark/>
          </w:tcPr>
          <w:p w:rsidR="0084336E" w:rsidRPr="00611A72" w:rsidRDefault="0084336E" w:rsidP="00CD49A7">
            <w:pPr>
              <w:rPr>
                <w:b/>
                <w:sz w:val="20"/>
              </w:rPr>
            </w:pPr>
            <w:r w:rsidRPr="00611A72">
              <w:rPr>
                <w:b/>
                <w:sz w:val="20"/>
              </w:rPr>
              <w:t>2</w:t>
            </w:r>
          </w:p>
        </w:tc>
        <w:tc>
          <w:tcPr>
            <w:tcW w:w="740" w:type="dxa"/>
            <w:tcBorders>
              <w:left w:val="single" w:sz="12" w:space="0" w:color="auto"/>
            </w:tcBorders>
            <w:noWrap/>
            <w:hideMark/>
          </w:tcPr>
          <w:p w:rsidR="0084336E" w:rsidRPr="0084336E" w:rsidRDefault="0084336E" w:rsidP="0084336E">
            <w:pPr>
              <w:jc w:val="right"/>
              <w:rPr>
                <w:sz w:val="20"/>
                <w:szCs w:val="20"/>
              </w:rPr>
            </w:pPr>
            <w:r w:rsidRPr="0084336E">
              <w:rPr>
                <w:sz w:val="20"/>
                <w:szCs w:val="20"/>
              </w:rPr>
              <w:t>70.24</w:t>
            </w:r>
          </w:p>
        </w:tc>
        <w:tc>
          <w:tcPr>
            <w:tcW w:w="740" w:type="dxa"/>
            <w:noWrap/>
            <w:hideMark/>
          </w:tcPr>
          <w:p w:rsidR="0084336E" w:rsidRPr="0084336E" w:rsidRDefault="0084336E" w:rsidP="0084336E">
            <w:pPr>
              <w:jc w:val="right"/>
              <w:rPr>
                <w:sz w:val="20"/>
                <w:szCs w:val="20"/>
              </w:rPr>
            </w:pPr>
            <w:r w:rsidRPr="0084336E">
              <w:rPr>
                <w:sz w:val="20"/>
                <w:szCs w:val="20"/>
              </w:rPr>
              <w:t>54.84</w:t>
            </w:r>
          </w:p>
        </w:tc>
        <w:tc>
          <w:tcPr>
            <w:tcW w:w="703" w:type="dxa"/>
          </w:tcPr>
          <w:p w:rsidR="0084336E" w:rsidRPr="0084336E" w:rsidRDefault="0084336E" w:rsidP="0084336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336E">
              <w:rPr>
                <w:rFonts w:ascii="Calibri" w:hAnsi="Calibri"/>
                <w:color w:val="000000"/>
                <w:sz w:val="20"/>
                <w:szCs w:val="20"/>
              </w:rPr>
              <w:t>15.40</w:t>
            </w:r>
          </w:p>
        </w:tc>
        <w:tc>
          <w:tcPr>
            <w:tcW w:w="703" w:type="dxa"/>
          </w:tcPr>
          <w:p w:rsidR="0084336E" w:rsidRPr="0084336E" w:rsidRDefault="0084336E" w:rsidP="0084336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336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9.90</w:t>
            </w:r>
          </w:p>
        </w:tc>
        <w:tc>
          <w:tcPr>
            <w:tcW w:w="703" w:type="dxa"/>
          </w:tcPr>
          <w:p w:rsidR="0084336E" w:rsidRPr="0084336E" w:rsidRDefault="0068252C" w:rsidP="0084336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8.83</w:t>
            </w:r>
          </w:p>
        </w:tc>
        <w:tc>
          <w:tcPr>
            <w:tcW w:w="703" w:type="dxa"/>
          </w:tcPr>
          <w:p w:rsidR="0084336E" w:rsidRPr="0084336E" w:rsidRDefault="0084336E" w:rsidP="0084336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336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1.07</w:t>
            </w:r>
          </w:p>
        </w:tc>
      </w:tr>
      <w:tr w:rsidR="0084336E" w:rsidRPr="00611A72" w:rsidTr="0084336E">
        <w:trPr>
          <w:trHeight w:val="300"/>
          <w:jc w:val="center"/>
        </w:trPr>
        <w:tc>
          <w:tcPr>
            <w:tcW w:w="800" w:type="dxa"/>
            <w:noWrap/>
            <w:hideMark/>
          </w:tcPr>
          <w:p w:rsidR="0084336E" w:rsidRPr="00611A72" w:rsidRDefault="0084336E" w:rsidP="00CD49A7">
            <w:pPr>
              <w:rPr>
                <w:b/>
                <w:sz w:val="20"/>
              </w:rPr>
            </w:pPr>
            <w:r w:rsidRPr="00611A72">
              <w:rPr>
                <w:b/>
                <w:sz w:val="20"/>
              </w:rPr>
              <w:t>3</w:t>
            </w:r>
          </w:p>
        </w:tc>
        <w:tc>
          <w:tcPr>
            <w:tcW w:w="740" w:type="dxa"/>
            <w:tcBorders>
              <w:left w:val="single" w:sz="12" w:space="0" w:color="auto"/>
            </w:tcBorders>
            <w:noWrap/>
            <w:hideMark/>
          </w:tcPr>
          <w:p w:rsidR="0084336E" w:rsidRPr="0084336E" w:rsidRDefault="0084336E" w:rsidP="0084336E">
            <w:pPr>
              <w:jc w:val="right"/>
              <w:rPr>
                <w:sz w:val="20"/>
                <w:szCs w:val="20"/>
              </w:rPr>
            </w:pPr>
            <w:r w:rsidRPr="0084336E">
              <w:rPr>
                <w:sz w:val="20"/>
                <w:szCs w:val="20"/>
              </w:rPr>
              <w:t>79.63</w:t>
            </w:r>
          </w:p>
        </w:tc>
        <w:tc>
          <w:tcPr>
            <w:tcW w:w="740" w:type="dxa"/>
            <w:noWrap/>
            <w:hideMark/>
          </w:tcPr>
          <w:p w:rsidR="0084336E" w:rsidRPr="0084336E" w:rsidRDefault="0084336E" w:rsidP="0084336E">
            <w:pPr>
              <w:jc w:val="right"/>
              <w:rPr>
                <w:sz w:val="20"/>
                <w:szCs w:val="20"/>
              </w:rPr>
            </w:pPr>
            <w:r w:rsidRPr="0084336E">
              <w:rPr>
                <w:sz w:val="20"/>
                <w:szCs w:val="20"/>
              </w:rPr>
              <w:t>63.50</w:t>
            </w:r>
          </w:p>
        </w:tc>
        <w:tc>
          <w:tcPr>
            <w:tcW w:w="703" w:type="dxa"/>
          </w:tcPr>
          <w:p w:rsidR="0084336E" w:rsidRPr="0084336E" w:rsidRDefault="0084336E" w:rsidP="0084336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336E">
              <w:rPr>
                <w:rFonts w:ascii="Calibri" w:hAnsi="Calibri"/>
                <w:color w:val="000000"/>
                <w:sz w:val="20"/>
                <w:szCs w:val="20"/>
              </w:rPr>
              <w:t>16.13</w:t>
            </w:r>
          </w:p>
        </w:tc>
        <w:tc>
          <w:tcPr>
            <w:tcW w:w="703" w:type="dxa"/>
          </w:tcPr>
          <w:p w:rsidR="0084336E" w:rsidRPr="0084336E" w:rsidRDefault="0084336E" w:rsidP="0084336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336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8.85</w:t>
            </w:r>
          </w:p>
        </w:tc>
        <w:tc>
          <w:tcPr>
            <w:tcW w:w="703" w:type="dxa"/>
          </w:tcPr>
          <w:p w:rsidR="0084336E" w:rsidRPr="0084336E" w:rsidRDefault="0068252C" w:rsidP="0084336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703" w:type="dxa"/>
          </w:tcPr>
          <w:p w:rsidR="0084336E" w:rsidRPr="0084336E" w:rsidRDefault="0084336E" w:rsidP="0084336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336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</w:tr>
      <w:tr w:rsidR="0084336E" w:rsidRPr="00611A72" w:rsidTr="0084336E">
        <w:trPr>
          <w:trHeight w:val="300"/>
          <w:jc w:val="center"/>
        </w:trPr>
        <w:tc>
          <w:tcPr>
            <w:tcW w:w="800" w:type="dxa"/>
            <w:noWrap/>
            <w:hideMark/>
          </w:tcPr>
          <w:p w:rsidR="0084336E" w:rsidRPr="00611A72" w:rsidRDefault="0084336E" w:rsidP="00CD49A7">
            <w:pPr>
              <w:rPr>
                <w:b/>
                <w:sz w:val="20"/>
              </w:rPr>
            </w:pPr>
            <w:r w:rsidRPr="00611A72">
              <w:rPr>
                <w:b/>
                <w:sz w:val="20"/>
              </w:rPr>
              <w:t>4</w:t>
            </w:r>
          </w:p>
        </w:tc>
        <w:tc>
          <w:tcPr>
            <w:tcW w:w="740" w:type="dxa"/>
            <w:tcBorders>
              <w:left w:val="single" w:sz="12" w:space="0" w:color="auto"/>
            </w:tcBorders>
            <w:noWrap/>
            <w:hideMark/>
          </w:tcPr>
          <w:p w:rsidR="0084336E" w:rsidRPr="0084336E" w:rsidRDefault="0084336E" w:rsidP="0084336E">
            <w:pPr>
              <w:jc w:val="right"/>
              <w:rPr>
                <w:sz w:val="20"/>
                <w:szCs w:val="20"/>
              </w:rPr>
            </w:pPr>
            <w:r w:rsidRPr="0084336E">
              <w:rPr>
                <w:sz w:val="20"/>
                <w:szCs w:val="20"/>
              </w:rPr>
              <w:t>78.98</w:t>
            </w:r>
          </w:p>
        </w:tc>
        <w:tc>
          <w:tcPr>
            <w:tcW w:w="740" w:type="dxa"/>
            <w:noWrap/>
            <w:hideMark/>
          </w:tcPr>
          <w:p w:rsidR="0084336E" w:rsidRPr="0084336E" w:rsidRDefault="0084336E" w:rsidP="0084336E">
            <w:pPr>
              <w:jc w:val="right"/>
              <w:rPr>
                <w:sz w:val="20"/>
                <w:szCs w:val="20"/>
              </w:rPr>
            </w:pPr>
            <w:r w:rsidRPr="0084336E">
              <w:rPr>
                <w:sz w:val="20"/>
                <w:szCs w:val="20"/>
              </w:rPr>
              <w:t>64.39</w:t>
            </w:r>
          </w:p>
        </w:tc>
        <w:tc>
          <w:tcPr>
            <w:tcW w:w="703" w:type="dxa"/>
          </w:tcPr>
          <w:p w:rsidR="0084336E" w:rsidRPr="0084336E" w:rsidRDefault="0084336E" w:rsidP="0084336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336E">
              <w:rPr>
                <w:rFonts w:ascii="Calibri" w:hAnsi="Calibri"/>
                <w:color w:val="000000"/>
                <w:sz w:val="20"/>
                <w:szCs w:val="20"/>
              </w:rPr>
              <w:t>14.60</w:t>
            </w:r>
          </w:p>
        </w:tc>
        <w:tc>
          <w:tcPr>
            <w:tcW w:w="703" w:type="dxa"/>
          </w:tcPr>
          <w:p w:rsidR="0084336E" w:rsidRPr="0084336E" w:rsidRDefault="0084336E" w:rsidP="0084336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336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8.44</w:t>
            </w:r>
          </w:p>
        </w:tc>
        <w:tc>
          <w:tcPr>
            <w:tcW w:w="703" w:type="dxa"/>
          </w:tcPr>
          <w:p w:rsidR="0084336E" w:rsidRPr="0084336E" w:rsidRDefault="0068252C" w:rsidP="0084336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7.83</w:t>
            </w:r>
          </w:p>
        </w:tc>
        <w:tc>
          <w:tcPr>
            <w:tcW w:w="703" w:type="dxa"/>
          </w:tcPr>
          <w:p w:rsidR="0084336E" w:rsidRPr="0084336E" w:rsidRDefault="0084336E" w:rsidP="0084336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336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0.61</w:t>
            </w:r>
          </w:p>
        </w:tc>
      </w:tr>
      <w:tr w:rsidR="0084336E" w:rsidRPr="00611A72" w:rsidTr="0084336E">
        <w:trPr>
          <w:trHeight w:val="300"/>
          <w:jc w:val="center"/>
        </w:trPr>
        <w:tc>
          <w:tcPr>
            <w:tcW w:w="800" w:type="dxa"/>
            <w:noWrap/>
            <w:hideMark/>
          </w:tcPr>
          <w:p w:rsidR="0084336E" w:rsidRPr="00611A72" w:rsidRDefault="0084336E" w:rsidP="00CD49A7">
            <w:pPr>
              <w:rPr>
                <w:b/>
                <w:sz w:val="20"/>
              </w:rPr>
            </w:pPr>
            <w:r w:rsidRPr="00611A72">
              <w:rPr>
                <w:b/>
                <w:sz w:val="20"/>
              </w:rPr>
              <w:t>5</w:t>
            </w:r>
          </w:p>
        </w:tc>
        <w:tc>
          <w:tcPr>
            <w:tcW w:w="740" w:type="dxa"/>
            <w:tcBorders>
              <w:left w:val="single" w:sz="12" w:space="0" w:color="auto"/>
            </w:tcBorders>
            <w:noWrap/>
            <w:hideMark/>
          </w:tcPr>
          <w:p w:rsidR="0084336E" w:rsidRPr="0084336E" w:rsidRDefault="0084336E" w:rsidP="0084336E">
            <w:pPr>
              <w:jc w:val="right"/>
              <w:rPr>
                <w:sz w:val="20"/>
                <w:szCs w:val="20"/>
              </w:rPr>
            </w:pPr>
            <w:r w:rsidRPr="0084336E">
              <w:rPr>
                <w:sz w:val="20"/>
                <w:szCs w:val="20"/>
              </w:rPr>
              <w:t>84.60</w:t>
            </w:r>
          </w:p>
        </w:tc>
        <w:tc>
          <w:tcPr>
            <w:tcW w:w="740" w:type="dxa"/>
            <w:noWrap/>
            <w:hideMark/>
          </w:tcPr>
          <w:p w:rsidR="0084336E" w:rsidRPr="0084336E" w:rsidRDefault="0084336E" w:rsidP="0084336E">
            <w:pPr>
              <w:jc w:val="right"/>
              <w:rPr>
                <w:sz w:val="20"/>
                <w:szCs w:val="20"/>
              </w:rPr>
            </w:pPr>
            <w:r w:rsidRPr="0084336E">
              <w:rPr>
                <w:sz w:val="20"/>
                <w:szCs w:val="20"/>
              </w:rPr>
              <w:t>69.74</w:t>
            </w:r>
          </w:p>
        </w:tc>
        <w:tc>
          <w:tcPr>
            <w:tcW w:w="703" w:type="dxa"/>
          </w:tcPr>
          <w:p w:rsidR="0084336E" w:rsidRPr="0084336E" w:rsidRDefault="0084336E" w:rsidP="0084336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336E">
              <w:rPr>
                <w:rFonts w:ascii="Calibri" w:hAnsi="Calibri"/>
                <w:color w:val="000000"/>
                <w:sz w:val="20"/>
                <w:szCs w:val="20"/>
              </w:rPr>
              <w:t>14.86</w:t>
            </w:r>
          </w:p>
        </w:tc>
        <w:tc>
          <w:tcPr>
            <w:tcW w:w="703" w:type="dxa"/>
          </w:tcPr>
          <w:p w:rsidR="0084336E" w:rsidRPr="0084336E" w:rsidRDefault="0084336E" w:rsidP="0084336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336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7.38</w:t>
            </w:r>
          </w:p>
        </w:tc>
        <w:tc>
          <w:tcPr>
            <w:tcW w:w="703" w:type="dxa"/>
          </w:tcPr>
          <w:p w:rsidR="0084336E" w:rsidRPr="0084336E" w:rsidRDefault="0068252C" w:rsidP="0084336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6.94</w:t>
            </w:r>
          </w:p>
        </w:tc>
        <w:tc>
          <w:tcPr>
            <w:tcW w:w="703" w:type="dxa"/>
          </w:tcPr>
          <w:p w:rsidR="0084336E" w:rsidRPr="0084336E" w:rsidRDefault="0084336E" w:rsidP="0084336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336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0.44</w:t>
            </w:r>
          </w:p>
        </w:tc>
      </w:tr>
      <w:tr w:rsidR="0084336E" w:rsidRPr="00611A72" w:rsidTr="0084336E">
        <w:trPr>
          <w:trHeight w:val="300"/>
          <w:jc w:val="center"/>
        </w:trPr>
        <w:tc>
          <w:tcPr>
            <w:tcW w:w="800" w:type="dxa"/>
            <w:noWrap/>
            <w:hideMark/>
          </w:tcPr>
          <w:p w:rsidR="0084336E" w:rsidRPr="00611A72" w:rsidRDefault="0084336E" w:rsidP="00CD49A7">
            <w:pPr>
              <w:rPr>
                <w:b/>
                <w:sz w:val="20"/>
              </w:rPr>
            </w:pPr>
            <w:r w:rsidRPr="00611A72">
              <w:rPr>
                <w:b/>
                <w:sz w:val="20"/>
              </w:rPr>
              <w:t>10</w:t>
            </w:r>
          </w:p>
        </w:tc>
        <w:tc>
          <w:tcPr>
            <w:tcW w:w="740" w:type="dxa"/>
            <w:tcBorders>
              <w:left w:val="single" w:sz="12" w:space="0" w:color="auto"/>
            </w:tcBorders>
            <w:noWrap/>
            <w:hideMark/>
          </w:tcPr>
          <w:p w:rsidR="0084336E" w:rsidRPr="0084336E" w:rsidRDefault="0084336E" w:rsidP="0084336E">
            <w:pPr>
              <w:jc w:val="right"/>
              <w:rPr>
                <w:sz w:val="20"/>
                <w:szCs w:val="20"/>
              </w:rPr>
            </w:pPr>
            <w:r w:rsidRPr="0084336E">
              <w:rPr>
                <w:sz w:val="20"/>
                <w:szCs w:val="20"/>
              </w:rPr>
              <w:t>86.80</w:t>
            </w:r>
          </w:p>
        </w:tc>
        <w:tc>
          <w:tcPr>
            <w:tcW w:w="740" w:type="dxa"/>
            <w:noWrap/>
            <w:hideMark/>
          </w:tcPr>
          <w:p w:rsidR="0084336E" w:rsidRPr="0084336E" w:rsidRDefault="0084336E" w:rsidP="0084336E">
            <w:pPr>
              <w:jc w:val="right"/>
              <w:rPr>
                <w:sz w:val="20"/>
                <w:szCs w:val="20"/>
              </w:rPr>
            </w:pPr>
            <w:r w:rsidRPr="0084336E">
              <w:rPr>
                <w:sz w:val="20"/>
                <w:szCs w:val="20"/>
              </w:rPr>
              <w:t>74.87</w:t>
            </w:r>
          </w:p>
        </w:tc>
        <w:tc>
          <w:tcPr>
            <w:tcW w:w="703" w:type="dxa"/>
          </w:tcPr>
          <w:p w:rsidR="0084336E" w:rsidRPr="0084336E" w:rsidRDefault="0084336E" w:rsidP="0084336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336E">
              <w:rPr>
                <w:rFonts w:ascii="Calibri" w:hAnsi="Calibri"/>
                <w:color w:val="000000"/>
                <w:sz w:val="20"/>
                <w:szCs w:val="20"/>
              </w:rPr>
              <w:t>11.93</w:t>
            </w:r>
          </w:p>
        </w:tc>
        <w:tc>
          <w:tcPr>
            <w:tcW w:w="703" w:type="dxa"/>
          </w:tcPr>
          <w:p w:rsidR="0084336E" w:rsidRPr="0084336E" w:rsidRDefault="0084336E" w:rsidP="0084336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336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5.05</w:t>
            </w:r>
          </w:p>
        </w:tc>
        <w:tc>
          <w:tcPr>
            <w:tcW w:w="703" w:type="dxa"/>
          </w:tcPr>
          <w:p w:rsidR="0084336E" w:rsidRPr="0084336E" w:rsidRDefault="0068252C" w:rsidP="0084336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4.89</w:t>
            </w:r>
          </w:p>
        </w:tc>
        <w:tc>
          <w:tcPr>
            <w:tcW w:w="703" w:type="dxa"/>
          </w:tcPr>
          <w:p w:rsidR="0084336E" w:rsidRPr="0084336E" w:rsidRDefault="0084336E" w:rsidP="0084336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336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0.16</w:t>
            </w:r>
          </w:p>
        </w:tc>
      </w:tr>
      <w:tr w:rsidR="0084336E" w:rsidRPr="00611A72" w:rsidTr="0084336E">
        <w:trPr>
          <w:trHeight w:val="300"/>
          <w:jc w:val="center"/>
        </w:trPr>
        <w:tc>
          <w:tcPr>
            <w:tcW w:w="800" w:type="dxa"/>
            <w:noWrap/>
            <w:hideMark/>
          </w:tcPr>
          <w:p w:rsidR="0084336E" w:rsidRPr="00611A72" w:rsidRDefault="0084336E" w:rsidP="00CD49A7">
            <w:pPr>
              <w:rPr>
                <w:b/>
                <w:sz w:val="20"/>
              </w:rPr>
            </w:pPr>
            <w:r w:rsidRPr="00611A72">
              <w:rPr>
                <w:b/>
                <w:sz w:val="20"/>
              </w:rPr>
              <w:t>12</w:t>
            </w:r>
          </w:p>
        </w:tc>
        <w:tc>
          <w:tcPr>
            <w:tcW w:w="740" w:type="dxa"/>
            <w:tcBorders>
              <w:left w:val="single" w:sz="12" w:space="0" w:color="auto"/>
            </w:tcBorders>
            <w:noWrap/>
            <w:hideMark/>
          </w:tcPr>
          <w:p w:rsidR="0084336E" w:rsidRPr="0084336E" w:rsidRDefault="0084336E" w:rsidP="0084336E">
            <w:pPr>
              <w:jc w:val="right"/>
              <w:rPr>
                <w:sz w:val="20"/>
                <w:szCs w:val="20"/>
              </w:rPr>
            </w:pPr>
            <w:r w:rsidRPr="0084336E">
              <w:rPr>
                <w:sz w:val="20"/>
                <w:szCs w:val="20"/>
              </w:rPr>
              <w:t>86.93</w:t>
            </w:r>
          </w:p>
        </w:tc>
        <w:tc>
          <w:tcPr>
            <w:tcW w:w="740" w:type="dxa"/>
            <w:noWrap/>
            <w:hideMark/>
          </w:tcPr>
          <w:p w:rsidR="0084336E" w:rsidRPr="0084336E" w:rsidRDefault="0084336E" w:rsidP="0084336E">
            <w:pPr>
              <w:jc w:val="right"/>
              <w:rPr>
                <w:sz w:val="20"/>
                <w:szCs w:val="20"/>
              </w:rPr>
            </w:pPr>
            <w:r w:rsidRPr="0084336E">
              <w:rPr>
                <w:sz w:val="20"/>
                <w:szCs w:val="20"/>
              </w:rPr>
              <w:t>75.83</w:t>
            </w:r>
          </w:p>
        </w:tc>
        <w:tc>
          <w:tcPr>
            <w:tcW w:w="703" w:type="dxa"/>
          </w:tcPr>
          <w:p w:rsidR="0084336E" w:rsidRPr="0084336E" w:rsidRDefault="0084336E" w:rsidP="0084336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336E">
              <w:rPr>
                <w:rFonts w:ascii="Calibri" w:hAnsi="Calibri"/>
                <w:color w:val="000000"/>
                <w:sz w:val="20"/>
                <w:szCs w:val="20"/>
              </w:rPr>
              <w:t>11.10</w:t>
            </w:r>
          </w:p>
        </w:tc>
        <w:tc>
          <w:tcPr>
            <w:tcW w:w="703" w:type="dxa"/>
          </w:tcPr>
          <w:p w:rsidR="0084336E" w:rsidRPr="0084336E" w:rsidRDefault="0084336E" w:rsidP="0084336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336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4.49</w:t>
            </w:r>
          </w:p>
        </w:tc>
        <w:tc>
          <w:tcPr>
            <w:tcW w:w="703" w:type="dxa"/>
          </w:tcPr>
          <w:p w:rsidR="0084336E" w:rsidRPr="0084336E" w:rsidRDefault="0068252C" w:rsidP="0084336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4.37</w:t>
            </w:r>
          </w:p>
        </w:tc>
        <w:tc>
          <w:tcPr>
            <w:tcW w:w="703" w:type="dxa"/>
          </w:tcPr>
          <w:p w:rsidR="0084336E" w:rsidRPr="0084336E" w:rsidRDefault="0084336E" w:rsidP="0084336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336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0.12</w:t>
            </w:r>
          </w:p>
        </w:tc>
      </w:tr>
      <w:tr w:rsidR="0084336E" w:rsidRPr="00611A72" w:rsidTr="0084336E">
        <w:trPr>
          <w:trHeight w:val="315"/>
          <w:jc w:val="center"/>
        </w:trPr>
        <w:tc>
          <w:tcPr>
            <w:tcW w:w="800" w:type="dxa"/>
            <w:noWrap/>
            <w:hideMark/>
          </w:tcPr>
          <w:p w:rsidR="0084336E" w:rsidRPr="00611A72" w:rsidRDefault="0084336E" w:rsidP="00CD49A7">
            <w:pPr>
              <w:rPr>
                <w:b/>
                <w:sz w:val="20"/>
              </w:rPr>
            </w:pPr>
            <w:r w:rsidRPr="00611A72">
              <w:rPr>
                <w:b/>
                <w:sz w:val="20"/>
              </w:rPr>
              <w:t>15</w:t>
            </w:r>
          </w:p>
        </w:tc>
        <w:tc>
          <w:tcPr>
            <w:tcW w:w="740" w:type="dxa"/>
            <w:tcBorders>
              <w:left w:val="single" w:sz="12" w:space="0" w:color="auto"/>
            </w:tcBorders>
            <w:noWrap/>
            <w:hideMark/>
          </w:tcPr>
          <w:p w:rsidR="0084336E" w:rsidRPr="0084336E" w:rsidRDefault="0084336E" w:rsidP="0084336E">
            <w:pPr>
              <w:jc w:val="right"/>
              <w:rPr>
                <w:sz w:val="20"/>
                <w:szCs w:val="20"/>
              </w:rPr>
            </w:pPr>
            <w:r w:rsidRPr="0084336E">
              <w:rPr>
                <w:sz w:val="20"/>
                <w:szCs w:val="20"/>
              </w:rPr>
              <w:t>81.85</w:t>
            </w:r>
          </w:p>
        </w:tc>
        <w:tc>
          <w:tcPr>
            <w:tcW w:w="740" w:type="dxa"/>
            <w:noWrap/>
            <w:hideMark/>
          </w:tcPr>
          <w:p w:rsidR="0084336E" w:rsidRPr="0084336E" w:rsidRDefault="0084336E" w:rsidP="0084336E">
            <w:pPr>
              <w:jc w:val="right"/>
              <w:rPr>
                <w:sz w:val="20"/>
                <w:szCs w:val="20"/>
              </w:rPr>
            </w:pPr>
            <w:r w:rsidRPr="0084336E">
              <w:rPr>
                <w:sz w:val="20"/>
                <w:szCs w:val="20"/>
              </w:rPr>
              <w:t>72.59</w:t>
            </w:r>
          </w:p>
        </w:tc>
        <w:tc>
          <w:tcPr>
            <w:tcW w:w="703" w:type="dxa"/>
          </w:tcPr>
          <w:p w:rsidR="0084336E" w:rsidRPr="0084336E" w:rsidRDefault="0084336E" w:rsidP="0084336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336E">
              <w:rPr>
                <w:rFonts w:ascii="Calibri" w:hAnsi="Calibri"/>
                <w:color w:val="000000"/>
                <w:sz w:val="20"/>
                <w:szCs w:val="20"/>
              </w:rPr>
              <w:t>9.26</w:t>
            </w:r>
          </w:p>
        </w:tc>
        <w:tc>
          <w:tcPr>
            <w:tcW w:w="703" w:type="dxa"/>
          </w:tcPr>
          <w:p w:rsidR="0084336E" w:rsidRPr="0084336E" w:rsidRDefault="0084336E" w:rsidP="0084336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336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4.09</w:t>
            </w:r>
          </w:p>
        </w:tc>
        <w:tc>
          <w:tcPr>
            <w:tcW w:w="703" w:type="dxa"/>
          </w:tcPr>
          <w:p w:rsidR="0084336E" w:rsidRPr="0084336E" w:rsidRDefault="0068252C" w:rsidP="0084336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703" w:type="dxa"/>
          </w:tcPr>
          <w:p w:rsidR="0084336E" w:rsidRPr="0084336E" w:rsidRDefault="0084336E" w:rsidP="0084336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336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0.09</w:t>
            </w:r>
          </w:p>
        </w:tc>
      </w:tr>
    </w:tbl>
    <w:p w:rsidR="00866933" w:rsidRDefault="00866933" w:rsidP="000C23F4"/>
    <w:p w:rsidR="0084336E" w:rsidRDefault="00AE308C" w:rsidP="0084336E">
      <w:r>
        <w:t xml:space="preserve">From </w:t>
      </w:r>
      <w:r w:rsidR="000D5F48">
        <w:t xml:space="preserve">our </w:t>
      </w:r>
      <w:r>
        <w:t>analysis it is clear</w:t>
      </w:r>
      <w:r w:rsidR="000C23F4">
        <w:t xml:space="preserve"> that with the resolving limit set at 14 far fewer galaxies</w:t>
      </w:r>
      <w:r>
        <w:t xml:space="preserve"> will be observed than for z=12</w:t>
      </w:r>
      <w:r w:rsidR="000D5F48">
        <w:t>, ≈80-90% less.</w:t>
      </w:r>
      <w:r>
        <w:t xml:space="preserve"> Although the S/N </w:t>
      </w:r>
      <w:r w:rsidR="00B96C48">
        <w:t xml:space="preserve">ratio </w:t>
      </w:r>
      <w:r>
        <w:t xml:space="preserve">will encompass galaxies </w:t>
      </w:r>
      <w:r w:rsidR="00B96C48">
        <w:t>up to a higher redshift</w:t>
      </w:r>
      <w:r>
        <w:t xml:space="preserve"> it will find far fewer overall and will find barely any in the range of 12-14 making it almost redundant. </w:t>
      </w:r>
    </w:p>
    <w:p w:rsidR="0084336E" w:rsidRDefault="0084336E" w:rsidP="0084336E">
      <w:r>
        <w:t>The survey covers redshifts higher than the redshift resolving limit but these galaxies will be observed with S/N&lt; 5. With observations across 4 filters detections at these high redshifts will still be of much interest and worth observing; they will still be good candidates fo</w:t>
      </w:r>
      <w:bookmarkStart w:id="0" w:name="_GoBack"/>
      <w:bookmarkEnd w:id="0"/>
      <w:r>
        <w:t>r spectroscopic study.</w:t>
      </w:r>
    </w:p>
    <w:p w:rsidR="000C23F4" w:rsidRDefault="00AE308C" w:rsidP="00C708B8">
      <w:r>
        <w:t>Proceeding with the</w:t>
      </w:r>
      <w:r w:rsidR="000C23F4">
        <w:t xml:space="preserve"> resolving limit </w:t>
      </w:r>
      <w:r>
        <w:t xml:space="preserve">at 12 </w:t>
      </w:r>
      <w:r w:rsidR="000C23F4">
        <w:t>and inspecting the number of galaxies observed for each poin</w:t>
      </w:r>
      <w:r w:rsidR="00CD49A7">
        <w:t xml:space="preserve">ting </w:t>
      </w:r>
      <w:r w:rsidR="000C23F4">
        <w:t xml:space="preserve">the </w:t>
      </w:r>
      <w:r w:rsidR="00CD49A7">
        <w:t xml:space="preserve">optimum number of pointings is found to be </w:t>
      </w:r>
      <w:r w:rsidR="00211040">
        <w:t>10</w:t>
      </w:r>
      <w:r w:rsidR="00B96C48">
        <w:t xml:space="preserve"> </w:t>
      </w:r>
      <w:r>
        <w:t xml:space="preserve">as </w:t>
      </w:r>
      <w:r w:rsidR="00C13008">
        <w:t xml:space="preserve">this offers </w:t>
      </w:r>
      <w:r w:rsidR="00211040">
        <w:t xml:space="preserve">a good balance between very </w:t>
      </w:r>
      <w:r w:rsidR="00B96C48">
        <w:t>high redshift galaxies</w:t>
      </w:r>
      <w:r w:rsidR="00211040">
        <w:t>(&gt;12) and those with a redshift &lt;12</w:t>
      </w:r>
      <w:r w:rsidR="00B96C48">
        <w:t>.</w:t>
      </w:r>
      <w:r w:rsidR="00211040">
        <w:t xml:space="preserve"> Choosing more pointings has its advantages such as </w:t>
      </w:r>
      <w:r w:rsidR="00CD49A7">
        <w:t xml:space="preserve">a greater number of </w:t>
      </w:r>
      <w:r w:rsidR="00211040">
        <w:t>galaxies &lt;12, however we do see a sharp drop off in higher redshi</w:t>
      </w:r>
      <w:r w:rsidR="00CD49A7">
        <w:t xml:space="preserve">ft candidates due to the lower </w:t>
      </w:r>
      <w:r w:rsidR="00211040">
        <w:t>magnitude depth.</w:t>
      </w:r>
      <w:r w:rsidR="00B96C48">
        <w:t xml:space="preserve"> </w:t>
      </w:r>
      <w:r w:rsidR="00CD49A7">
        <w:t>Additionally, w</w:t>
      </w:r>
      <w:r w:rsidR="00211040">
        <w:t>hen we consider the</w:t>
      </w:r>
      <w:r w:rsidR="00B96C48">
        <w:t xml:space="preserve"> cosmic variance on this sample</w:t>
      </w:r>
      <w:r w:rsidR="00211040">
        <w:t>, using the program created by the predictions group</w:t>
      </w:r>
      <w:r w:rsidR="00E60A0F">
        <w:t>,</w:t>
      </w:r>
      <w:r w:rsidR="00211040">
        <w:t xml:space="preserve"> it reduce</w:t>
      </w:r>
      <w:r w:rsidR="00E60A0F">
        <w:t>s</w:t>
      </w:r>
      <w:r w:rsidR="00211040">
        <w:t xml:space="preserve"> from 66% to 44% when moving from 5 to 10 pointings making the lower bound of z&gt;12 galaxies higher.</w:t>
      </w:r>
      <w:r w:rsidR="00B96C48">
        <w:t xml:space="preserve"> </w:t>
      </w:r>
    </w:p>
    <w:p w:rsidR="006C5676" w:rsidRDefault="00246DAD" w:rsidP="0068252C">
      <w:r>
        <w:t>The final inclusion into this survey is the benefits of using gravitational lensing</w:t>
      </w:r>
      <w:r w:rsidR="006C5676">
        <w:t xml:space="preserve">, using known lenses the number of additional lenses in a </w:t>
      </w:r>
      <w:proofErr w:type="spellStart"/>
      <w:r w:rsidR="006C5676">
        <w:t>FoV</w:t>
      </w:r>
      <w:proofErr w:type="spellEnd"/>
      <w:r w:rsidR="006C5676">
        <w:t xml:space="preserve"> has been calculated</w:t>
      </w:r>
      <w:r w:rsidR="001A5B31">
        <w:t>(see sect... for full calculation)</w:t>
      </w:r>
      <w:r w:rsidR="00667B67">
        <w:t xml:space="preserve">, see table. </w:t>
      </w:r>
      <w:proofErr w:type="gramStart"/>
      <w:r w:rsidR="00667B67">
        <w:t>.(</w:t>
      </w:r>
      <w:proofErr w:type="gramEnd"/>
      <w:r w:rsidR="00667B67">
        <w:t>below)</w:t>
      </w:r>
    </w:p>
    <w:tbl>
      <w:tblPr>
        <w:tblW w:w="5869" w:type="dxa"/>
        <w:jc w:val="center"/>
        <w:tblCellMar>
          <w:left w:w="0" w:type="dxa"/>
          <w:right w:w="0" w:type="dxa"/>
        </w:tblCellMar>
        <w:tblLook w:val="04A0"/>
      </w:tblPr>
      <w:tblGrid>
        <w:gridCol w:w="1956"/>
        <w:gridCol w:w="1956"/>
        <w:gridCol w:w="1957"/>
      </w:tblGrid>
      <w:tr w:rsidR="006C5676" w:rsidRPr="00A710EB" w:rsidTr="006C5676">
        <w:trPr>
          <w:jc w:val="center"/>
        </w:trPr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676" w:rsidRPr="00A710EB" w:rsidRDefault="006C5676" w:rsidP="0093638E">
            <w:r w:rsidRPr="00A710EB">
              <w:t> </w:t>
            </w:r>
          </w:p>
          <w:p w:rsidR="006C5676" w:rsidRPr="00A710EB" w:rsidRDefault="006C5676" w:rsidP="0093638E">
            <w:r w:rsidRPr="00A710EB">
              <w:rPr>
                <w:b/>
                <w:bCs/>
              </w:rPr>
              <w:t>Lens</w:t>
            </w:r>
          </w:p>
        </w:tc>
        <w:tc>
          <w:tcPr>
            <w:tcW w:w="1417" w:type="dxa"/>
            <w:tcBorders>
              <w:top w:val="single" w:sz="8" w:space="0" w:color="auto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676" w:rsidRPr="00A710EB" w:rsidRDefault="006C5676" w:rsidP="0093638E">
            <w:r w:rsidRPr="00A710EB">
              <w:rPr>
                <w:b/>
                <w:bCs/>
              </w:rPr>
              <w:t>Number of extra galaxies seen 10≤z≤12</w:t>
            </w:r>
          </w:p>
        </w:tc>
        <w:tc>
          <w:tcPr>
            <w:tcW w:w="1418" w:type="dxa"/>
            <w:tcBorders>
              <w:top w:val="single" w:sz="8" w:space="0" w:color="auto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676" w:rsidRPr="00A710EB" w:rsidRDefault="006C5676" w:rsidP="0093638E">
            <w:r w:rsidRPr="00A710EB">
              <w:rPr>
                <w:b/>
                <w:bCs/>
              </w:rPr>
              <w:t>Number of extra galaxies seen 12≤z≤15</w:t>
            </w:r>
          </w:p>
        </w:tc>
      </w:tr>
      <w:tr w:rsidR="006C5676" w:rsidRPr="00A710EB" w:rsidTr="006C5676">
        <w:trPr>
          <w:jc w:val="center"/>
        </w:trPr>
        <w:tc>
          <w:tcPr>
            <w:tcW w:w="1417" w:type="dxa"/>
            <w:tcBorders>
              <w:top w:val="outset" w:sz="6" w:space="0" w:color="F0F0F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676" w:rsidRPr="00A710EB" w:rsidRDefault="006C5676" w:rsidP="0093638E">
            <w:r w:rsidRPr="00A710EB">
              <w:t>1</w:t>
            </w:r>
          </w:p>
        </w:tc>
        <w:tc>
          <w:tcPr>
            <w:tcW w:w="1417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676" w:rsidRPr="00A710EB" w:rsidRDefault="006C5676" w:rsidP="0093638E">
            <w:r w:rsidRPr="00A710EB">
              <w:t>10.6</w:t>
            </w:r>
          </w:p>
        </w:tc>
        <w:tc>
          <w:tcPr>
            <w:tcW w:w="141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676" w:rsidRPr="00A710EB" w:rsidRDefault="006C5676" w:rsidP="0093638E">
            <w:r w:rsidRPr="00A710EB">
              <w:t>5.0</w:t>
            </w:r>
          </w:p>
        </w:tc>
      </w:tr>
      <w:tr w:rsidR="006C5676" w:rsidRPr="00A710EB" w:rsidTr="006C5676">
        <w:trPr>
          <w:jc w:val="center"/>
        </w:trPr>
        <w:tc>
          <w:tcPr>
            <w:tcW w:w="1417" w:type="dxa"/>
            <w:tcBorders>
              <w:top w:val="outset" w:sz="6" w:space="0" w:color="F0F0F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676" w:rsidRPr="00A710EB" w:rsidRDefault="006C5676" w:rsidP="0093638E">
            <w:r w:rsidRPr="00A710EB">
              <w:t>2</w:t>
            </w:r>
          </w:p>
        </w:tc>
        <w:tc>
          <w:tcPr>
            <w:tcW w:w="1417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676" w:rsidRPr="00A710EB" w:rsidRDefault="006C5676" w:rsidP="0093638E">
            <w:r w:rsidRPr="00A710EB">
              <w:t>33.9</w:t>
            </w:r>
          </w:p>
        </w:tc>
        <w:tc>
          <w:tcPr>
            <w:tcW w:w="141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676" w:rsidRPr="00A710EB" w:rsidRDefault="006C5676" w:rsidP="0093638E">
            <w:r w:rsidRPr="00A710EB">
              <w:t>16.1</w:t>
            </w:r>
          </w:p>
        </w:tc>
      </w:tr>
      <w:tr w:rsidR="006C5676" w:rsidRPr="00A710EB" w:rsidTr="006C5676">
        <w:trPr>
          <w:jc w:val="center"/>
        </w:trPr>
        <w:tc>
          <w:tcPr>
            <w:tcW w:w="1417" w:type="dxa"/>
            <w:tcBorders>
              <w:top w:val="outset" w:sz="6" w:space="0" w:color="F0F0F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676" w:rsidRPr="00A710EB" w:rsidRDefault="006C5676" w:rsidP="0093638E">
            <w:r w:rsidRPr="00A710EB">
              <w:lastRenderedPageBreak/>
              <w:t>3</w:t>
            </w:r>
          </w:p>
        </w:tc>
        <w:tc>
          <w:tcPr>
            <w:tcW w:w="1417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676" w:rsidRPr="00A710EB" w:rsidRDefault="006C5676" w:rsidP="0093638E">
            <w:r w:rsidRPr="00A710EB">
              <w:t>23.1</w:t>
            </w:r>
          </w:p>
        </w:tc>
        <w:tc>
          <w:tcPr>
            <w:tcW w:w="141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676" w:rsidRPr="00A710EB" w:rsidRDefault="006C5676" w:rsidP="0093638E">
            <w:r w:rsidRPr="00A710EB">
              <w:t>11.0</w:t>
            </w:r>
          </w:p>
        </w:tc>
      </w:tr>
      <w:tr w:rsidR="006C5676" w:rsidRPr="00A710EB" w:rsidTr="006C5676">
        <w:trPr>
          <w:jc w:val="center"/>
        </w:trPr>
        <w:tc>
          <w:tcPr>
            <w:tcW w:w="1417" w:type="dxa"/>
            <w:tcBorders>
              <w:top w:val="outset" w:sz="6" w:space="0" w:color="F0F0F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676" w:rsidRPr="00A710EB" w:rsidRDefault="006C5676" w:rsidP="0093638E">
            <w:r w:rsidRPr="00A710EB">
              <w:t>4</w:t>
            </w:r>
          </w:p>
        </w:tc>
        <w:tc>
          <w:tcPr>
            <w:tcW w:w="1417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676" w:rsidRPr="00A710EB" w:rsidRDefault="006C5676" w:rsidP="0093638E">
            <w:r w:rsidRPr="00A710EB">
              <w:t>49.3</w:t>
            </w:r>
          </w:p>
        </w:tc>
        <w:tc>
          <w:tcPr>
            <w:tcW w:w="141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676" w:rsidRPr="00A710EB" w:rsidRDefault="006C5676" w:rsidP="0093638E">
            <w:r w:rsidRPr="00A710EB">
              <w:t>23.6</w:t>
            </w:r>
          </w:p>
        </w:tc>
      </w:tr>
      <w:tr w:rsidR="006C5676" w:rsidRPr="00A710EB" w:rsidTr="006C5676">
        <w:trPr>
          <w:jc w:val="center"/>
        </w:trPr>
        <w:tc>
          <w:tcPr>
            <w:tcW w:w="1417" w:type="dxa"/>
            <w:tcBorders>
              <w:top w:val="outset" w:sz="6" w:space="0" w:color="F0F0F0"/>
              <w:left w:val="single" w:sz="8" w:space="0" w:color="auto"/>
              <w:bottom w:val="outset" w:sz="6" w:space="0" w:color="F0F0F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676" w:rsidRPr="00A710EB" w:rsidRDefault="006C5676" w:rsidP="0093638E">
            <w:r w:rsidRPr="00A710EB">
              <w:t>5</w:t>
            </w:r>
          </w:p>
        </w:tc>
        <w:tc>
          <w:tcPr>
            <w:tcW w:w="1417" w:type="dxa"/>
            <w:tcBorders>
              <w:top w:val="outset" w:sz="6" w:space="0" w:color="F0F0F0"/>
              <w:left w:val="outset" w:sz="6" w:space="0" w:color="F0F0F0"/>
              <w:bottom w:val="outset" w:sz="6" w:space="0" w:color="F0F0F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676" w:rsidRPr="00A710EB" w:rsidRDefault="006C5676" w:rsidP="0093638E">
            <w:r w:rsidRPr="00A710EB">
              <w:t>66.9</w:t>
            </w:r>
          </w:p>
        </w:tc>
        <w:tc>
          <w:tcPr>
            <w:tcW w:w="1418" w:type="dxa"/>
            <w:tcBorders>
              <w:top w:val="outset" w:sz="6" w:space="0" w:color="F0F0F0"/>
              <w:left w:val="outset" w:sz="6" w:space="0" w:color="F0F0F0"/>
              <w:bottom w:val="outset" w:sz="6" w:space="0" w:color="F0F0F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676" w:rsidRPr="00A710EB" w:rsidRDefault="006C5676" w:rsidP="0093638E">
            <w:r w:rsidRPr="00A710EB">
              <w:t>31.8</w:t>
            </w:r>
          </w:p>
        </w:tc>
      </w:tr>
      <w:tr w:rsidR="006C5676" w:rsidRPr="00A710EB" w:rsidTr="006C5676">
        <w:trPr>
          <w:jc w:val="center"/>
        </w:trPr>
        <w:tc>
          <w:tcPr>
            <w:tcW w:w="1417" w:type="dxa"/>
            <w:tcBorders>
              <w:top w:val="outset" w:sz="6" w:space="0" w:color="F0F0F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676" w:rsidRPr="00A710EB" w:rsidRDefault="006C5676" w:rsidP="0093638E">
            <w:r>
              <w:t>Total</w:t>
            </w:r>
          </w:p>
        </w:tc>
        <w:tc>
          <w:tcPr>
            <w:tcW w:w="1417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676" w:rsidRPr="00A710EB" w:rsidRDefault="006C5676" w:rsidP="0093638E">
            <w:r>
              <w:t>183.8</w:t>
            </w:r>
          </w:p>
        </w:tc>
        <w:tc>
          <w:tcPr>
            <w:tcW w:w="141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676" w:rsidRPr="00A710EB" w:rsidRDefault="006C5676" w:rsidP="0093638E">
            <w:r>
              <w:t>87.5</w:t>
            </w:r>
          </w:p>
        </w:tc>
      </w:tr>
    </w:tbl>
    <w:p w:rsidR="006C5676" w:rsidRDefault="006C5676" w:rsidP="006C5676">
      <w:pPr>
        <w:jc w:val="center"/>
      </w:pPr>
    </w:p>
    <w:p w:rsidR="001A5B31" w:rsidRDefault="001A5B31" w:rsidP="001A5B31">
      <w:pPr>
        <w:jc w:val="center"/>
      </w:pPr>
      <w:r>
        <w:t xml:space="preserve">Caption: table of additional galaxies in JWST’s </w:t>
      </w:r>
      <w:proofErr w:type="spellStart"/>
      <w:r>
        <w:t>FoV</w:t>
      </w:r>
      <w:proofErr w:type="spellEnd"/>
      <w:r>
        <w:t xml:space="preserve"> for known gravitational lenses.</w:t>
      </w:r>
    </w:p>
    <w:p w:rsidR="00A710EB" w:rsidRPr="00010C97" w:rsidRDefault="006C5676" w:rsidP="00A029D9">
      <w:pPr>
        <w:rPr>
          <w:color w:val="002060"/>
        </w:rPr>
      </w:pPr>
      <w:r w:rsidRPr="00010C97">
        <w:rPr>
          <w:color w:val="002060"/>
        </w:rPr>
        <w:t>The total number of galaxies observed is now 358.1 ± 158.64.</w:t>
      </w:r>
      <w:r w:rsidR="001A5B31" w:rsidRPr="00010C97">
        <w:rPr>
          <w:color w:val="002060"/>
        </w:rPr>
        <w:t xml:space="preserve"> </w:t>
      </w:r>
      <w:r w:rsidR="00010C97" w:rsidRPr="00010C97">
        <w:rPr>
          <w:color w:val="002060"/>
        </w:rPr>
        <w:t>O</w:t>
      </w:r>
      <w:r w:rsidR="00A029D9" w:rsidRPr="00010C97">
        <w:rPr>
          <w:color w:val="002060"/>
        </w:rPr>
        <w:t>n top o</w:t>
      </w:r>
      <w:r w:rsidRPr="00010C97">
        <w:rPr>
          <w:color w:val="002060"/>
        </w:rPr>
        <w:t xml:space="preserve">f </w:t>
      </w:r>
      <w:r w:rsidR="00010C97" w:rsidRPr="00010C97">
        <w:rPr>
          <w:color w:val="002060"/>
        </w:rPr>
        <w:t xml:space="preserve">the 2million second observation </w:t>
      </w:r>
      <w:r w:rsidRPr="00010C97">
        <w:rPr>
          <w:color w:val="002060"/>
        </w:rPr>
        <w:t>time an additional 10% need</w:t>
      </w:r>
      <w:r w:rsidR="001A5B31" w:rsidRPr="00010C97">
        <w:rPr>
          <w:color w:val="002060"/>
        </w:rPr>
        <w:t>s</w:t>
      </w:r>
      <w:r w:rsidRPr="00010C97">
        <w:rPr>
          <w:color w:val="002060"/>
        </w:rPr>
        <w:t xml:space="preserve"> to be</w:t>
      </w:r>
      <w:r w:rsidR="00A029D9" w:rsidRPr="00010C97">
        <w:rPr>
          <w:color w:val="002060"/>
        </w:rPr>
        <w:t xml:space="preserve"> </w:t>
      </w:r>
      <w:r w:rsidR="00010C97" w:rsidRPr="00010C97">
        <w:rPr>
          <w:color w:val="002060"/>
        </w:rPr>
        <w:t>included as explained in sect</w:t>
      </w:r>
      <w:proofErr w:type="gramStart"/>
      <w:r w:rsidR="00010C97" w:rsidRPr="00010C97">
        <w:rPr>
          <w:color w:val="002060"/>
        </w:rPr>
        <w:t>.[</w:t>
      </w:r>
      <w:proofErr w:type="gramEnd"/>
      <w:r w:rsidR="00010C97" w:rsidRPr="00010C97">
        <w:rPr>
          <w:color w:val="002060"/>
        </w:rPr>
        <w:t>overheads</w:t>
      </w:r>
      <w:r w:rsidR="00010C97">
        <w:rPr>
          <w:color w:val="002060"/>
        </w:rPr>
        <w:t>]</w:t>
      </w:r>
      <w:r w:rsidR="00010C97" w:rsidRPr="00010C97">
        <w:rPr>
          <w:color w:val="002060"/>
        </w:rPr>
        <w:t xml:space="preserve">. </w:t>
      </w:r>
      <w:r w:rsidR="0068252C" w:rsidRPr="00010C97">
        <w:rPr>
          <w:color w:val="002060"/>
        </w:rPr>
        <w:t xml:space="preserve"> </w:t>
      </w:r>
      <w:r w:rsidR="00A029D9" w:rsidRPr="00010C97">
        <w:rPr>
          <w:color w:val="002060"/>
        </w:rPr>
        <w:t>Assu</w:t>
      </w:r>
      <w:r w:rsidR="00A710EB" w:rsidRPr="00010C97">
        <w:rPr>
          <w:color w:val="002060"/>
        </w:rPr>
        <w:t>ming the JWST can operate for 18</w:t>
      </w:r>
      <w:r w:rsidR="00A029D9" w:rsidRPr="00010C97">
        <w:rPr>
          <w:color w:val="002060"/>
        </w:rPr>
        <w:t xml:space="preserve"> hours per day this </w:t>
      </w:r>
      <w:r w:rsidR="00010C97" w:rsidRPr="00010C97">
        <w:rPr>
          <w:color w:val="002060"/>
        </w:rPr>
        <w:t xml:space="preserve">gives </w:t>
      </w:r>
      <w:proofErr w:type="gramStart"/>
      <w:r w:rsidR="00010C97" w:rsidRPr="00010C97">
        <w:rPr>
          <w:color w:val="002060"/>
        </w:rPr>
        <w:t>a survey</w:t>
      </w:r>
      <w:proofErr w:type="gramEnd"/>
      <w:r w:rsidR="00010C97" w:rsidRPr="00010C97">
        <w:rPr>
          <w:color w:val="002060"/>
        </w:rPr>
        <w:t xml:space="preserve"> duration of 33.95 </w:t>
      </w:r>
      <w:r w:rsidR="00A029D9" w:rsidRPr="00010C97">
        <w:rPr>
          <w:color w:val="002060"/>
        </w:rPr>
        <w:t>days.</w:t>
      </w:r>
      <w:r w:rsidR="00F26989" w:rsidRPr="00010C97">
        <w:rPr>
          <w:color w:val="002060"/>
        </w:rPr>
        <w:t xml:space="preserve"> While this total time is highly ambitious, the prospect of seeing such a wealth of high redshift galaxies where only a couple have been previously discovered is hard to dismiss.</w:t>
      </w:r>
    </w:p>
    <w:sectPr w:rsidR="00A710EB" w:rsidRPr="00010C97" w:rsidSect="000D5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E31" w:rsidRDefault="00B86E31" w:rsidP="00CD49A7">
      <w:pPr>
        <w:spacing w:after="0" w:line="240" w:lineRule="auto"/>
      </w:pPr>
      <w:r>
        <w:separator/>
      </w:r>
    </w:p>
  </w:endnote>
  <w:endnote w:type="continuationSeparator" w:id="0">
    <w:p w:rsidR="00B86E31" w:rsidRDefault="00B86E31" w:rsidP="00CD4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E31" w:rsidRDefault="00B86E31" w:rsidP="00CD49A7">
      <w:pPr>
        <w:spacing w:after="0" w:line="240" w:lineRule="auto"/>
      </w:pPr>
      <w:r>
        <w:separator/>
      </w:r>
    </w:p>
  </w:footnote>
  <w:footnote w:type="continuationSeparator" w:id="0">
    <w:p w:rsidR="00B86E31" w:rsidRDefault="00B86E31" w:rsidP="00CD49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F37996"/>
    <w:rsid w:val="000029B9"/>
    <w:rsid w:val="00010C97"/>
    <w:rsid w:val="00041EAE"/>
    <w:rsid w:val="000C23F4"/>
    <w:rsid w:val="000D080C"/>
    <w:rsid w:val="000D5F48"/>
    <w:rsid w:val="000E5A7A"/>
    <w:rsid w:val="00113EA1"/>
    <w:rsid w:val="001222E7"/>
    <w:rsid w:val="00136316"/>
    <w:rsid w:val="001514E2"/>
    <w:rsid w:val="001A43AE"/>
    <w:rsid w:val="001A5B31"/>
    <w:rsid w:val="00211040"/>
    <w:rsid w:val="00217B74"/>
    <w:rsid w:val="00234227"/>
    <w:rsid w:val="00246DAD"/>
    <w:rsid w:val="0025099D"/>
    <w:rsid w:val="002E5F18"/>
    <w:rsid w:val="00324D41"/>
    <w:rsid w:val="0036496C"/>
    <w:rsid w:val="0038649D"/>
    <w:rsid w:val="003F6D43"/>
    <w:rsid w:val="004076B9"/>
    <w:rsid w:val="00420CE2"/>
    <w:rsid w:val="0044696C"/>
    <w:rsid w:val="004D0F3F"/>
    <w:rsid w:val="004E1EC8"/>
    <w:rsid w:val="00533E36"/>
    <w:rsid w:val="005A60FD"/>
    <w:rsid w:val="005B2E9F"/>
    <w:rsid w:val="006033EB"/>
    <w:rsid w:val="00611A72"/>
    <w:rsid w:val="00635E8F"/>
    <w:rsid w:val="00654F8E"/>
    <w:rsid w:val="00667B67"/>
    <w:rsid w:val="006753B9"/>
    <w:rsid w:val="0068252C"/>
    <w:rsid w:val="006A4600"/>
    <w:rsid w:val="006C5676"/>
    <w:rsid w:val="007A1EB0"/>
    <w:rsid w:val="008115BF"/>
    <w:rsid w:val="0084336E"/>
    <w:rsid w:val="0084660C"/>
    <w:rsid w:val="00866933"/>
    <w:rsid w:val="00882578"/>
    <w:rsid w:val="009927BD"/>
    <w:rsid w:val="009A6336"/>
    <w:rsid w:val="00A029D9"/>
    <w:rsid w:val="00A10EB9"/>
    <w:rsid w:val="00A710EB"/>
    <w:rsid w:val="00AE308C"/>
    <w:rsid w:val="00B744ED"/>
    <w:rsid w:val="00B829C2"/>
    <w:rsid w:val="00B837F7"/>
    <w:rsid w:val="00B86E31"/>
    <w:rsid w:val="00B95C74"/>
    <w:rsid w:val="00B96C48"/>
    <w:rsid w:val="00C13008"/>
    <w:rsid w:val="00C265D7"/>
    <w:rsid w:val="00C708B8"/>
    <w:rsid w:val="00CD49A7"/>
    <w:rsid w:val="00CE4424"/>
    <w:rsid w:val="00D063D0"/>
    <w:rsid w:val="00D12E28"/>
    <w:rsid w:val="00D40948"/>
    <w:rsid w:val="00DE3919"/>
    <w:rsid w:val="00E44FEA"/>
    <w:rsid w:val="00E60A0F"/>
    <w:rsid w:val="00F030E0"/>
    <w:rsid w:val="00F26989"/>
    <w:rsid w:val="00F31EAC"/>
    <w:rsid w:val="00F37996"/>
    <w:rsid w:val="00FE7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9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66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D49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49A7"/>
  </w:style>
  <w:style w:type="paragraph" w:styleId="Footer">
    <w:name w:val="footer"/>
    <w:basedOn w:val="Normal"/>
    <w:link w:val="FooterChar"/>
    <w:uiPriority w:val="99"/>
    <w:semiHidden/>
    <w:unhideWhenUsed/>
    <w:rsid w:val="00CD49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49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ke\SkyDrive\Documents\Group%20Study\Massive%20spread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autoTitleDeleted val="1"/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xVal>
            <c:numRef>
              <c:f>Sheet2!$A$1:$A$8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12</c:v>
                </c:pt>
                <c:pt idx="7">
                  <c:v>15</c:v>
                </c:pt>
              </c:numCache>
            </c:numRef>
          </c:xVal>
          <c:yVal>
            <c:numRef>
              <c:f>Sheet2!$B$1:$B$8</c:f>
              <c:numCache>
                <c:formatCode>General</c:formatCode>
                <c:ptCount val="8"/>
                <c:pt idx="0">
                  <c:v>32.949999999999996</c:v>
                </c:pt>
                <c:pt idx="1">
                  <c:v>32.550000000000004</c:v>
                </c:pt>
                <c:pt idx="2">
                  <c:v>32.349999999999994</c:v>
                </c:pt>
                <c:pt idx="3">
                  <c:v>32.15</c:v>
                </c:pt>
                <c:pt idx="4">
                  <c:v>32.050000000000004</c:v>
                </c:pt>
                <c:pt idx="5">
                  <c:v>31.650000000000031</c:v>
                </c:pt>
                <c:pt idx="6">
                  <c:v>31.55</c:v>
                </c:pt>
                <c:pt idx="7">
                  <c:v>31.4</c:v>
                </c:pt>
              </c:numCache>
            </c:numRef>
          </c:yVal>
        </c:ser>
        <c:axId val="77103104"/>
        <c:axId val="77106176"/>
      </c:scatterChart>
      <c:valAx>
        <c:axId val="7710310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no.</a:t>
                </a:r>
                <a:r>
                  <a:rPr lang="en-GB" baseline="0"/>
                  <a:t> of pointings</a:t>
                </a:r>
                <a:endParaRPr lang="en-GB"/>
              </a:p>
            </c:rich>
          </c:tx>
        </c:title>
        <c:numFmt formatCode="General" sourceLinked="1"/>
        <c:majorTickMark val="none"/>
        <c:tickLblPos val="nextTo"/>
        <c:crossAx val="77106176"/>
        <c:crosses val="autoZero"/>
        <c:crossBetween val="midCat"/>
      </c:valAx>
      <c:valAx>
        <c:axId val="7710617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Magnitude</a:t>
                </a:r>
              </a:p>
            </c:rich>
          </c:tx>
        </c:title>
        <c:numFmt formatCode="General" sourceLinked="1"/>
        <c:majorTickMark val="none"/>
        <c:tickLblPos val="nextTo"/>
        <c:crossAx val="77103104"/>
        <c:crosses val="autoZero"/>
        <c:crossBetween val="midCat"/>
      </c:valAx>
    </c:plotArea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4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5567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isclusteruser</dc:creator>
  <cp:lastModifiedBy>Mike</cp:lastModifiedBy>
  <cp:revision>33</cp:revision>
  <dcterms:created xsi:type="dcterms:W3CDTF">2013-03-15T09:59:00Z</dcterms:created>
  <dcterms:modified xsi:type="dcterms:W3CDTF">2013-03-19T22:30:00Z</dcterms:modified>
</cp:coreProperties>
</file>