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120"/>
        <w:jc w:val="center"/>
      </w:pPr>
      <w:r>
        <w:rPr>
          <w:rFonts w:ascii="Arial" w:cs="Arial" w:eastAsia="Arial" w:hAnsi="Arial"/>
          <w:b/>
          <w:bCs/>
          <w:color w:val="1F3864"/>
          <w:sz w:val="72"/>
          <w:szCs w:val="72"/>
        </w:rPr>
        <w:t xml:space="preserve">StopCheck</w:t>
      </w:r>
    </w:p>
    <w:p>
      <w:pPr>
        <w:spacing w:before="0" w:after="200"/>
        <w:jc w:val="center"/>
      </w:pPr>
      <w:r>
        <w:rPr>
          <w:rFonts w:ascii="Arial" w:cs="Arial" w:eastAsia="Arial" w:hAnsi="Arial"/>
          <w:color w:val="2E5090"/>
          <w:sz w:val="36"/>
          <w:szCs w:val="36"/>
        </w:rPr>
        <w:t xml:space="preserve">Global Expansion Specification</w:t>
      </w:r>
    </w:p>
    <w:p>
      <w:pPr>
        <w:pBdr>
          <w:top w:val="single" w:color="2E5090" w:sz="4" w:space="4"/>
        </w:pBdr>
        <w:spacing w:before="0" w:after="60"/>
        <w:jc w:val="center"/>
      </w:pPr>
    </w:p>
    <w:p>
      <w:pPr>
        <w:spacing w:before="60" w:after="0"/>
      </w:pPr>
    </w:p>
    <w:p>
      <w:pPr>
        <w:spacing w:before="0" w:after="60"/>
        <w:jc w:val="center"/>
      </w:pPr>
      <w:r>
        <w:rPr>
          <w:rFonts w:ascii="Arial" w:cs="Arial" w:eastAsia="Arial" w:hAnsi="Arial"/>
          <w:color w:val="444444"/>
          <w:sz w:val="24"/>
          <w:szCs w:val="24"/>
        </w:rPr>
        <w:t xml:space="preserve">International Markets, Compliance &amp; Localization Roadmap</w:t>
      </w:r>
    </w:p>
    <w:p>
      <w:pPr>
        <w:spacing w:before="0" w:after="60"/>
        <w:jc w:val="center"/>
      </w:pPr>
      <w:r>
        <w:rPr>
          <w:rFonts w:ascii="Arial" w:cs="Arial" w:eastAsia="Arial" w:hAnsi="Arial"/>
          <w:color w:val="888888"/>
          <w:sz w:val="22"/>
          <w:szCs w:val="22"/>
        </w:rPr>
        <w:t xml:space="preserve">Version 1.0  |  March 2026  |  Execute After US Launch</w:t>
      </w:r>
    </w:p>
    <w:p>
      <w:pPr>
        <w:spacing w:before="2600" w:after="0"/>
      </w:pPr>
    </w:p>
    <w:p>
      <w:pPr>
        <w:jc w:val="center"/>
      </w:pPr>
      <w:r>
        <w:rPr>
          <w:rFonts w:ascii="Arial" w:cs="Arial" w:eastAsia="Arial" w:hAnsi="Arial"/>
          <w:b/>
          <w:bCs/>
          <w:color w:val="AAAAAA"/>
          <w:sz w:val="18"/>
          <w:szCs w:val="18"/>
        </w:rPr>
        <w:t xml:space="preserve">CONFIDENTIAL — FOR DEVELOPMENT USE ONLY</w:t>
      </w:r>
    </w:p>
    <w:p>
      <w:r>
        <w:br/>
      </w:r>
    </w:p>
    <w:p>
      <w:pPr>
        <w:pStyle w:val="Heading1"/>
        <w:spacing w:before="360" w:after="120"/>
      </w:pPr>
      <w:r>
        <w:rPr>
          <w:rFonts w:ascii="Arial" w:cs="Arial" w:eastAsia="Arial" w:hAnsi="Arial"/>
          <w:b/>
          <w:bCs/>
          <w:color w:val="1F3864"/>
          <w:sz w:val="32"/>
          <w:szCs w:val="32"/>
        </w:rPr>
        <w:t xml:space="preserve">1. Executive Summary</w:t>
      </w:r>
    </w:p>
    <w:p>
      <w:pPr>
        <w:spacing w:before="60" w:after="100"/>
      </w:pPr>
      <w:r>
        <w:rPr>
          <w:rFonts w:ascii="Arial" w:cs="Arial" w:eastAsia="Arial" w:hAnsi="Arial"/>
          <w:sz w:val="22"/>
          <w:szCs w:val="22"/>
        </w:rPr>
        <w:t xml:space="preserve">StopCheck is built on a globally portable technical foundation. The FIT file format, Strava API, Garmin Connect API, and Wahoo API all operate identically in every country. The core compliance analysis engine has no geographic dependencies. However, meaningful international expansion requires deliberate work across four domains: legal compliance, payment processing, language localization, and market-specific product adaptation.</w:t>
      </w:r>
    </w:p>
    <w:p>
      <w:pPr>
        <w:spacing w:before="80" w:after="0"/>
      </w:pPr>
    </w:p>
    <w:p>
      <w:pPr>
        <w:spacing w:before="60" w:after="100"/>
      </w:pPr>
      <w:r>
        <w:rPr>
          <w:rFonts w:ascii="Arial" w:cs="Arial" w:eastAsia="Arial" w:hAnsi="Arial"/>
          <w:sz w:val="22"/>
          <w:szCs w:val="22"/>
        </w:rPr>
        <w:t xml:space="preserve">This document specifies the complete requirements for expanding StopCheck to international markets. It is written as an agent-executable specification following the same format as the primary technical specification. Coding agents should read this document in full before beginning any international expansion 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EXECUTION ORDER: This spec is written to be executed AFTER the US platform is live and has demonstrated traction. Do not begin international expansion work until Phase 6 hardening is complete and at least 50 paying US customers are active. International complexity added too early will slow the core product.</w:t>
            </w:r>
          </w:p>
        </w:tc>
      </w:tr>
    </w:tbl>
    <w:p>
      <w:pPr>
        <w:spacing w:before="80" w:after="0"/>
      </w:pPr>
    </w:p>
    <w:p>
      <w:pPr>
        <w:pStyle w:val="Heading2"/>
        <w:spacing w:before="280" w:after="100"/>
      </w:pPr>
      <w:r>
        <w:rPr>
          <w:rFonts w:ascii="Arial" w:cs="Arial" w:eastAsia="Arial" w:hAnsi="Arial"/>
          <w:b/>
          <w:bCs/>
          <w:color w:val="2E5090"/>
          <w:sz w:val="26"/>
          <w:szCs w:val="26"/>
        </w:rPr>
        <w:t xml:space="preserve">1.1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960"/>
        <w:gridCol w:w="200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3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Gravel Market</w:t>
            </w:r>
          </w:p>
        </w:tc>
        <w:tc>
          <w:tcPr>
            <w:tcW w:type="dxa" w:w="2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Key Events</w:t>
            </w:r>
          </w:p>
        </w:tc>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United States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~1,200 events/year, 5,000+ riders at top events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Unbound, Barry Roubaix, SBT GRVL, BWR Series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Current — live</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United Kingdom</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Growing rapidly, UCI Gravel World Series qualifier events</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Gralloch, Dirty Reiver, British Cycling National Gravel Champs</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Phase 1 international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Australia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Strong cycling culture, RADL GRVL gaining global profile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RADL GRVL, Otway Gravel Grind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international</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Canada</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Active scene, BWR Canada, Paris to Ancaster</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BWR Canada, Paris to Ancaster, GranFondo Whistler</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Phase 1 international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France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Massive cycling culture, government cycling investment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Traka qualifiers, multiple national events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 international</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Germany</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Largest cycling market in Europe by volume</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Erzgebirge Gravel, multiple growing events</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Phase 2 international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Spain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Exploding gravel scene, Traka 360 draws global field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Traka 360, Gravel Earth Series events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 international</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Netherlands</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Dense cycling culture, growing gravel movement</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Multiple UCI qualifier events</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Phase 3 international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Rest of World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Emerging markets — Japan, South Africa, New Zealand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Cape Epic adjacent events, growing scenes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4 international</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2. Phased Rollout Plan</w:t>
      </w:r>
    </w:p>
    <w:p>
      <w:pPr>
        <w:pStyle w:val="Heading2"/>
        <w:spacing w:before="280" w:after="100"/>
      </w:pPr>
      <w:r>
        <w:rPr>
          <w:rFonts w:ascii="Arial" w:cs="Arial" w:eastAsia="Arial" w:hAnsi="Arial"/>
          <w:b/>
          <w:bCs/>
          <w:color w:val="2E5090"/>
          <w:sz w:val="26"/>
          <w:szCs w:val="26"/>
        </w:rPr>
        <w:t xml:space="preserve">2.1 Phase 1 International — English Speaking Markets</w:t>
      </w:r>
    </w:p>
    <w:p>
      <w:pPr>
        <w:spacing w:before="60" w:after="100"/>
      </w:pPr>
      <w:r>
        <w:rPr>
          <w:rFonts w:ascii="Arial" w:cs="Arial" w:eastAsia="Arial" w:hAnsi="Arial"/>
          <w:sz w:val="22"/>
          <w:szCs w:val="22"/>
        </w:rPr>
        <w:t xml:space="preserve">Target markets: United Kingdom, Australia, Canada, New Zealand. Zero language work required. These markets use the same FIT ecosystem, have active gravel communities, and operate under GDPR-equivalent privacy laws that the existing spec already covers.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9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Blocking?</w:t>
            </w:r>
          </w:p>
        </w:tc>
        <w:tc>
          <w:tcPr>
            <w:tcW w:type="dxa" w:w="4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multi-currency (GBP, AUD, CAD)</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Must show prices in local currency</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VAT/GST collection via Stripe Tax</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UK 20%, Australia 10%, Canada 5-15% by province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GDPR compliance verification (UK)</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days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UK GDPR is separate from EU GDPR post-Brexit</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Australia Privacy Act compliance</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Breach notification within 30 days required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Terms of service — international version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days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Must reference applicable local law per user region</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Compliance point label configurable</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0.5 days</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Rename 'stop sign' to 'compliance checkpoint' per event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Date/time format localization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0.5 days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DD/MM/YYYY vs MM/DD/YYYY — affects all date displays</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Distance unit toggle (km vs miles)</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0.5 days</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UK uses miles, Australia uses km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sending domain verification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Resend requires domain verification for international delivery</w:t>
            </w:r>
          </w:p>
        </w:tc>
      </w:tr>
    </w:tbl>
    <w:p>
      <w:pPr>
        <w:spacing w:before="100" w:after="0"/>
      </w:pPr>
    </w:p>
    <w:p>
      <w:pPr>
        <w:pStyle w:val="Heading2"/>
        <w:spacing w:before="280" w:after="100"/>
      </w:pPr>
      <w:r>
        <w:rPr>
          <w:rFonts w:ascii="Arial" w:cs="Arial" w:eastAsia="Arial" w:hAnsi="Arial"/>
          <w:b/>
          <w:bCs/>
          <w:color w:val="2E5090"/>
          <w:sz w:val="26"/>
          <w:szCs w:val="26"/>
        </w:rPr>
        <w:t xml:space="preserve">2.2 Phase 2 International — French and German Markets</w:t>
      </w:r>
    </w:p>
    <w:p>
      <w:pPr>
        <w:spacing w:before="60" w:after="100"/>
      </w:pPr>
      <w:r>
        <w:rPr>
          <w:rFonts w:ascii="Arial" w:cs="Arial" w:eastAsia="Arial" w:hAnsi="Arial"/>
          <w:sz w:val="22"/>
          <w:szCs w:val="22"/>
        </w:rPr>
        <w:t xml:space="preserve">Target markets: France, Germany, Belgium, Switzerland, Austria. Requires full language localization and EU VAT compliance. These are the largest European cycling markets and contain major gravel events.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9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Blocking?</w:t>
            </w:r>
          </w:p>
        </w:tc>
        <w:tc>
          <w:tcPr>
            <w:tcW w:type="dxa" w:w="4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react-i18next implementation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 days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Must be in place before translation begins</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French translation — all UI strings</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5 days</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~800 strings estimated — use professional translator not AI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German translation — all UI strings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 days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~800 strings — German UI text is typically 30% longer than English</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EU GDPR full compliance audit</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3 days</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Cookie consent banner, data processing agreements, DPA templates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EU VAT — all 27 member states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Tax handles calculation but must be configured per country</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SEPA payment method (Stripe)</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Bank transfers common in Germany and Netherlands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French legal entity or EU representative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weeks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GDPR requires EU representative for non-EU companies — can use a service</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Privacy policy in French and German</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3 days</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Must be accurate legal translation, not machine translation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templates in French and German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days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Route emails, compliance reports, DQ notifications</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OSM Overpass stop sign query validation</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Verify highway=stop tag accuracy in French and German OSM data</w:t>
            </w:r>
          </w:p>
        </w:tc>
      </w:tr>
    </w:tbl>
    <w:p>
      <w:pPr>
        <w:spacing w:before="100" w:after="0"/>
      </w:pPr>
    </w:p>
    <w:p>
      <w:pPr>
        <w:pStyle w:val="Heading2"/>
        <w:spacing w:before="280" w:after="100"/>
      </w:pPr>
      <w:r>
        <w:rPr>
          <w:rFonts w:ascii="Arial" w:cs="Arial" w:eastAsia="Arial" w:hAnsi="Arial"/>
          <w:b/>
          <w:bCs/>
          <w:color w:val="2E5090"/>
          <w:sz w:val="26"/>
          <w:szCs w:val="26"/>
        </w:rPr>
        <w:t xml:space="preserve">2.3 Phase 3 International — Spanish Market</w:t>
      </w:r>
    </w:p>
    <w:p>
      <w:pPr>
        <w:spacing w:before="60" w:after="100"/>
      </w:pPr>
      <w:r>
        <w:rPr>
          <w:rFonts w:ascii="Arial" w:cs="Arial" w:eastAsia="Arial" w:hAnsi="Arial"/>
          <w:sz w:val="22"/>
          <w:szCs w:val="22"/>
        </w:rPr>
        <w:t xml:space="preserve">Target markets: Spain, Mexico, Colombia, Argentina. Spain has the fastest-growing gravel scene in Europe driven by events like Traka 360. Latin America is an emerging opportunity with lower competition.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43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9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9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Blocking?</w:t>
            </w:r>
          </w:p>
        </w:tc>
        <w:tc>
          <w:tcPr>
            <w:tcW w:type="dxa" w:w="4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Spanish translation — all UI strings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 days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Two variants needed: Spain Spanish and Latin American Spanish</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Mexico payment methods (Stripe)</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OXXO cash payments common in Mexico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Spanish privacy policy and terms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 days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Spain falls under EU GDPR, Latin America varies by country</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Colombian data protection law (Ley 1581)</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 days</w:t>
            </w:r>
          </w:p>
        </w:tc>
        <w:tc>
          <w:tcPr>
            <w:tcW w:type="dxa" w:w="9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Colombia has strict data protection requirements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Argentina PDPA compliance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 day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Argentina Personal Data Protection Act</w:t>
            </w:r>
          </w:p>
        </w:tc>
      </w:tr>
    </w:tbl>
    <w:p>
      <w:pPr>
        <w:spacing w:before="100" w:after="0"/>
      </w:pPr>
    </w:p>
    <w:p>
      <w:pPr>
        <w:pStyle w:val="Heading2"/>
        <w:spacing w:before="280" w:after="100"/>
      </w:pPr>
      <w:r>
        <w:rPr>
          <w:rFonts w:ascii="Arial" w:cs="Arial" w:eastAsia="Arial" w:hAnsi="Arial"/>
          <w:b/>
          <w:bCs/>
          <w:color w:val="2E5090"/>
          <w:sz w:val="26"/>
          <w:szCs w:val="26"/>
        </w:rPr>
        <w:t xml:space="preserve">2.4 Phase 4 International — Rest of World</w:t>
      </w:r>
    </w:p>
    <w:p>
      <w:pPr>
        <w:spacing w:before="60" w:after="100"/>
      </w:pPr>
      <w:r>
        <w:rPr>
          <w:rFonts w:ascii="Arial" w:cs="Arial" w:eastAsia="Arial" w:hAnsi="Arial"/>
          <w:sz w:val="22"/>
          <w:szCs w:val="22"/>
        </w:rPr>
        <w:t xml:space="preserve">Target markets: Japan, South Africa, New Zealand, and emerging gravel markets. These markets require individual assessment. This phase is not fully specified here — it requires market research at the time of execution.</w:t>
      </w:r>
    </w:p>
    <w:p>
      <w:pPr>
        <w:pStyle w:val="ListParagraph"/>
        <w:numPr>
          <w:ilvl w:val="0"/>
          <w:numId w:val="2"/>
        </w:numPr>
        <w:spacing w:before="40" w:after="40"/>
      </w:pPr>
      <w:r>
        <w:rPr>
          <w:rFonts w:ascii="Arial" w:cs="Arial" w:eastAsia="Arial" w:hAnsi="Arial"/>
          <w:sz w:val="22"/>
          <w:szCs w:val="22"/>
        </w:rPr>
        <w:t xml:space="preserve">Japan: Significant privacy law (APPI) requires specific consent mechanisms. Japanese UI conventions differ significantly from Western apps — consider local UX research before building.</w:t>
      </w:r>
    </w:p>
    <w:p>
      <w:pPr>
        <w:pStyle w:val="ListParagraph"/>
        <w:numPr>
          <w:ilvl w:val="0"/>
          <w:numId w:val="2"/>
        </w:numPr>
        <w:spacing w:before="40" w:after="40"/>
      </w:pPr>
      <w:r>
        <w:rPr>
          <w:rFonts w:ascii="Arial" w:cs="Arial" w:eastAsia="Arial" w:hAnsi="Arial"/>
          <w:sz w:val="22"/>
          <w:szCs w:val="22"/>
        </w:rPr>
        <w:t xml:space="preserve">South Africa: POPIA (Protection of Personal Information Act) requires a designated Information Officer. Growing gravel scene around Cape Epic adjacent events.</w:t>
      </w:r>
    </w:p>
    <w:p>
      <w:pPr>
        <w:pStyle w:val="ListParagraph"/>
        <w:numPr>
          <w:ilvl w:val="0"/>
          <w:numId w:val="2"/>
        </w:numPr>
        <w:spacing w:before="40" w:after="40"/>
      </w:pPr>
      <w:r>
        <w:rPr>
          <w:rFonts w:ascii="Arial" w:cs="Arial" w:eastAsia="Arial" w:hAnsi="Arial"/>
          <w:sz w:val="22"/>
          <w:szCs w:val="22"/>
        </w:rPr>
        <w:t xml:space="preserve">New Zealand: Privacy Act 2020 similar to Australia. Small market but high engagement cycling culture.</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3. Legal &amp; Regulatory Requirements by Region</w:t>
      </w:r>
    </w:p>
    <w:p>
      <w:pPr>
        <w:pStyle w:val="Heading2"/>
        <w:spacing w:before="280" w:after="100"/>
      </w:pPr>
      <w:r>
        <w:rPr>
          <w:rFonts w:ascii="Arial" w:cs="Arial" w:eastAsia="Arial" w:hAnsi="Arial"/>
          <w:b/>
          <w:bCs/>
          <w:color w:val="2E5090"/>
          <w:sz w:val="26"/>
          <w:szCs w:val="26"/>
        </w:rPr>
        <w:t xml:space="preserve">3.1 Data Privacy Law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1560"/>
        <w:gridCol w:w="180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Law</w:t>
            </w:r>
          </w:p>
        </w:tc>
        <w:tc>
          <w:tcPr>
            <w:tcW w:type="dxa" w:w="3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Key Requirements</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EU Representative Required?</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Breach Notification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European Union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GDPR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Lawful basis for processing, explicit consent, right to erasure, data portability, DPA with processors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required for non-EU companies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72 hours to supervisory authority</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United Kingdom</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UK GDPR</w:t>
            </w:r>
          </w:p>
        </w:tc>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Same as EU GDPR but separate post-Brexit. ICO is the supervisory authority</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UK representative required</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72 hours to ICO</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Australia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Privacy Act 1988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 1-13 compliance, notifiable data breach scheme, privacy policy required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 days to OAIC</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Canada Federal</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PIPEDA</w:t>
            </w:r>
          </w:p>
        </w:tc>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Consent required, breach notification, privacy officer required</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As soon as feasible to OPC</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Canada Quebec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Law 25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Stricter than federal — privacy impact assessments required for high-risk processing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72 hours to CAI</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France</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GDPR via CNIL</w:t>
            </w:r>
          </w:p>
        </w:tc>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CNIL is the supervisory authority. Cookie consent required — no implied consent</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Via EU representative</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72 hours to CNIL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Germany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GDPR via BfDI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Strictest GDPR interpretation in EU. Cookie banners must have genuine reject option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Via EU representative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72 hours to BfDI</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Spain</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GDPR via AEPD</w:t>
            </w:r>
          </w:p>
        </w:tc>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LOPDGDD supplements GDPR with Spanish-specific provisions</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Via EU representative</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72 hours to AEPD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Colombia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Ley 1581 de 2012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Registration with SIC required. Data transfer restrictions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Notify SIC immediately</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Japan</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APPI (amended 2022)</w:t>
            </w:r>
          </w:p>
        </w:tc>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Consent for sensitive data, cross-border transfer restrictions, opt-out rights</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Notify PPC within 30 days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South Africa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POPIA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Information Officer must be designated and registered with ICRSA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Notify ICRSA as soon as possible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CRITICAL FOR ALL REGIONS: The existing StopCheck data minimization approach — storing only stop-zone speed records, never full GPS tracks, deleting FIT files within 24 hours, deleting OAuth tokens immediately after use — is the single most effective global privacy compliance strategy. This approach satisfies the data minimization requirements of every privacy law listed above. Never compromise this principle for any international market.</w:t>
            </w:r>
          </w:p>
        </w:tc>
      </w:tr>
    </w:tbl>
    <w:p>
      <w:pPr>
        <w:spacing w:before="120" w:after="0"/>
      </w:pPr>
    </w:p>
    <w:p>
      <w:pPr>
        <w:pStyle w:val="Heading2"/>
        <w:spacing w:before="280" w:after="100"/>
      </w:pPr>
      <w:r>
        <w:rPr>
          <w:rFonts w:ascii="Arial" w:cs="Arial" w:eastAsia="Arial" w:hAnsi="Arial"/>
          <w:b/>
          <w:bCs/>
          <w:color w:val="2E5090"/>
          <w:sz w:val="26"/>
          <w:szCs w:val="26"/>
        </w:rPr>
        <w:t xml:space="preserve">3.2 EU GDPR Specific Requirements</w:t>
      </w:r>
    </w:p>
    <w:p>
      <w:pPr>
        <w:spacing w:before="60" w:after="100"/>
      </w:pPr>
      <w:r>
        <w:rPr>
          <w:rFonts w:ascii="Arial" w:cs="Arial" w:eastAsia="Arial" w:hAnsi="Arial"/>
          <w:sz w:val="22"/>
          <w:szCs w:val="22"/>
        </w:rPr>
        <w:t xml:space="preserve">GDPR is the most comprehensive privacy law and sets the global standard. Full GDPR compliance covers most other jurisdictions. The following requirements are in addition to the existing Section 11 of the primary spec:</w:t>
      </w:r>
    </w:p>
    <w:p>
      <w:pPr>
        <w:spacing w:before="200" w:after="80"/>
      </w:pPr>
      <w:r>
        <w:rPr>
          <w:rFonts w:ascii="Arial" w:cs="Arial" w:eastAsia="Arial" w:hAnsi="Arial"/>
          <w:b/>
          <w:bCs/>
          <w:color w:val="1F3864"/>
          <w:sz w:val="22"/>
          <w:szCs w:val="22"/>
        </w:rPr>
        <w:t xml:space="preserve">3.2.1 Legal Basis for Processing</w:t>
      </w:r>
    </w:p>
    <w:p>
      <w:pPr>
        <w:spacing w:before="60" w:after="100"/>
      </w:pPr>
      <w:r>
        <w:rPr>
          <w:rFonts w:ascii="Arial" w:cs="Arial" w:eastAsia="Arial" w:hAnsi="Arial"/>
          <w:sz w:val="22"/>
          <w:szCs w:val="22"/>
        </w:rPr>
        <w:t xml:space="preserve">StopCheck must document the legal basis for each type of data processing. Use this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Data Processed</w:t>
            </w:r>
          </w:p>
        </w:tc>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Legal Basis</w:t>
            </w:r>
          </w:p>
        </w:tc>
        <w:tc>
          <w:tcPr>
            <w:tcW w:type="dxa" w:w="4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name and email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Contract (Article 6(1)(b))</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Necessary to perform the compliance verification service the rider signed up for</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 tokens</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Contract (Article 6(1)(b))</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Necessary to fetch activity data to perform the service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Stop-zone speed records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Legitimate Interest (Article 6(1)(f))</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LIA required — document that competitive integrity outweighs privacy impact given minimal data stored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Compliance results</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Contract (Article 6(1)(b))</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Core service delivery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Organizer account data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Contract (Article 6(1)(b))</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Account management</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Audit log entries</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Legal Obligation (Article 6(1)(c))</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to demonstrate accountability under GDPR Article 5(2)</w:t>
            </w:r>
          </w:p>
        </w:tc>
      </w:tr>
    </w:tbl>
    <w:p>
      <w:pPr>
        <w:spacing w:before="80" w:after="0"/>
      </w:pPr>
    </w:p>
    <w:p>
      <w:pPr>
        <w:spacing w:before="200" w:after="80"/>
      </w:pPr>
      <w:r>
        <w:rPr>
          <w:rFonts w:ascii="Arial" w:cs="Arial" w:eastAsia="Arial" w:hAnsi="Arial"/>
          <w:b/>
          <w:bCs/>
          <w:color w:val="1F3864"/>
          <w:sz w:val="22"/>
          <w:szCs w:val="22"/>
        </w:rPr>
        <w:t xml:space="preserve">3.2.2 Cookie Consent</w:t>
      </w:r>
    </w:p>
    <w:p>
      <w:pPr>
        <w:spacing w:before="60" w:after="100"/>
      </w:pPr>
      <w:r>
        <w:rPr>
          <w:rFonts w:ascii="Arial" w:cs="Arial" w:eastAsia="Arial" w:hAnsi="Arial"/>
          <w:sz w:val="22"/>
          <w:szCs w:val="22"/>
        </w:rPr>
        <w:t xml:space="preserve">For EU users, implement a compliant cookie consent banner:</w:t>
      </w:r>
    </w:p>
    <w:p>
      <w:pPr>
        <w:pStyle w:val="ListParagraph"/>
        <w:numPr>
          <w:ilvl w:val="0"/>
          <w:numId w:val="2"/>
        </w:numPr>
        <w:spacing w:before="40" w:after="40"/>
      </w:pPr>
      <w:r>
        <w:rPr>
          <w:rFonts w:ascii="Arial" w:cs="Arial" w:eastAsia="Arial" w:hAnsi="Arial"/>
          <w:sz w:val="22"/>
          <w:szCs w:val="22"/>
        </w:rPr>
        <w:t xml:space="preserve">Strictly necessary cookies (session, auth JWT): No consent required — explain in privacy policy</w:t>
      </w:r>
    </w:p>
    <w:p>
      <w:pPr>
        <w:pStyle w:val="ListParagraph"/>
        <w:numPr>
          <w:ilvl w:val="0"/>
          <w:numId w:val="2"/>
        </w:numPr>
        <w:spacing w:before="40" w:after="40"/>
      </w:pPr>
      <w:r>
        <w:rPr>
          <w:rFonts w:ascii="Arial" w:cs="Arial" w:eastAsia="Arial" w:hAnsi="Arial"/>
          <w:sz w:val="22"/>
          <w:szCs w:val="22"/>
        </w:rPr>
        <w:t xml:space="preserve">Analytics cookies: Explicit opt-in required before loading — no pre-ticked boxes</w:t>
      </w:r>
    </w:p>
    <w:p>
      <w:pPr>
        <w:pStyle w:val="ListParagraph"/>
        <w:numPr>
          <w:ilvl w:val="0"/>
          <w:numId w:val="2"/>
        </w:numPr>
        <w:spacing w:before="40" w:after="40"/>
      </w:pPr>
      <w:r>
        <w:rPr>
          <w:rFonts w:ascii="Arial" w:cs="Arial" w:eastAsia="Arial" w:hAnsi="Arial"/>
          <w:sz w:val="22"/>
          <w:szCs w:val="22"/>
        </w:rPr>
        <w:t xml:space="preserve">No advertising or tracking cookies permitted on any StopCheck page per Section 11</w:t>
      </w:r>
    </w:p>
    <w:p>
      <w:pPr>
        <w:pStyle w:val="ListParagraph"/>
        <w:numPr>
          <w:ilvl w:val="0"/>
          <w:numId w:val="2"/>
        </w:numPr>
        <w:spacing w:before="40" w:after="40"/>
      </w:pPr>
      <w:r>
        <w:rPr>
          <w:rFonts w:ascii="Arial" w:cs="Arial" w:eastAsia="Arial" w:hAnsi="Arial"/>
          <w:sz w:val="22"/>
          <w:szCs w:val="22"/>
        </w:rPr>
        <w:t xml:space="preserve">Use a Consent Management Platform (CMP) — recommended: Cookiebot or Osano (~$10-20/month)</w:t>
      </w:r>
    </w:p>
    <w:p>
      <w:pPr>
        <w:pStyle w:val="ListParagraph"/>
        <w:numPr>
          <w:ilvl w:val="0"/>
          <w:numId w:val="2"/>
        </w:numPr>
        <w:spacing w:before="40" w:after="40"/>
      </w:pPr>
      <w:r>
        <w:rPr>
          <w:rFonts w:ascii="Arial" w:cs="Arial" w:eastAsia="Arial" w:hAnsi="Arial"/>
          <w:sz w:val="22"/>
          <w:szCs w:val="22"/>
        </w:rPr>
        <w:t xml:space="preserve">Consent must be granular, freely given, specific, and withdrawable at any time</w:t>
      </w:r>
    </w:p>
    <w:p>
      <w:pPr>
        <w:pStyle w:val="ListParagraph"/>
        <w:numPr>
          <w:ilvl w:val="0"/>
          <w:numId w:val="2"/>
        </w:numPr>
        <w:spacing w:before="40" w:after="40"/>
      </w:pPr>
      <w:r>
        <w:rPr>
          <w:rFonts w:ascii="Arial" w:cs="Arial" w:eastAsia="Arial" w:hAnsi="Arial"/>
          <w:sz w:val="22"/>
          <w:szCs w:val="22"/>
        </w:rPr>
        <w:t xml:space="preserve">Store consent records with timestamp and version of privacy policy accepted</w:t>
      </w:r>
    </w:p>
    <w:p>
      <w:pPr>
        <w:spacing w:before="80" w:after="0"/>
      </w:pPr>
    </w:p>
    <w:p>
      <w:pPr>
        <w:spacing w:before="200" w:after="80"/>
      </w:pPr>
      <w:r>
        <w:rPr>
          <w:rFonts w:ascii="Arial" w:cs="Arial" w:eastAsia="Arial" w:hAnsi="Arial"/>
          <w:b/>
          <w:bCs/>
          <w:color w:val="1F3864"/>
          <w:sz w:val="22"/>
          <w:szCs w:val="22"/>
        </w:rPr>
        <w:t xml:space="preserve">3.2.3 Data Processing Agreement (DPA)</w:t>
      </w:r>
    </w:p>
    <w:p>
      <w:pPr>
        <w:spacing w:before="60" w:after="100"/>
      </w:pPr>
      <w:r>
        <w:rPr>
          <w:rFonts w:ascii="Arial" w:cs="Arial" w:eastAsia="Arial" w:hAnsi="Arial"/>
          <w:sz w:val="22"/>
          <w:szCs w:val="22"/>
        </w:rPr>
        <w:t xml:space="preserve">GDPR Article 28 requires a DPA with every processor that handles personal data on your behalf. Required DPAs: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60"/>
        <w:gridCol w:w="3800"/>
      </w:tblGrid>
      <w:tr>
        <w:trPr>
          <w:tblHeader/>
        </w:trPr>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Processor</w:t>
            </w:r>
          </w:p>
        </w:tc>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Data Processed</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DPA Available?</w:t>
            </w:r>
          </w:p>
        </w:tc>
        <w:tc>
          <w:tcPr>
            <w:tcW w:type="dxa" w:w="3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Action Required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rider and organizer data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Supabase provides standard DPA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Sign via Supabase dashboard under Settings &gt; Legal</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Railway/Render</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API server processes all data in transit</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available on request</w:t>
            </w:r>
          </w:p>
        </w:tc>
        <w:tc>
          <w:tcPr>
            <w:tcW w:type="dxa" w:w="3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Request and sign before EU launch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Cloudflare R2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files (temporary)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Cloudflare provides DPA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Sign via Cloudflare dashboard</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Resend</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and organizer email addresses</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available on request</w:t>
            </w:r>
          </w:p>
        </w:tc>
        <w:tc>
          <w:tcPr>
            <w:tcW w:type="dxa" w:w="3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Request and sign before EU launch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Organizer payment data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Stripe provides standard DPA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Accept via Stripe dashboard</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Sentry</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Error logs may contain email addresses</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Sentry provides DPA</w:t>
            </w:r>
          </w:p>
        </w:tc>
        <w:tc>
          <w:tcPr>
            <w:tcW w:type="dxa" w:w="3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Sign and configure PII scrubbing</w:t>
            </w:r>
          </w:p>
        </w:tc>
      </w:tr>
    </w:tbl>
    <w:p>
      <w:pPr>
        <w:spacing w:before="80" w:after="0"/>
      </w:pPr>
    </w:p>
    <w:p>
      <w:pPr>
        <w:spacing w:before="200" w:after="80"/>
      </w:pPr>
      <w:r>
        <w:rPr>
          <w:rFonts w:ascii="Arial" w:cs="Arial" w:eastAsia="Arial" w:hAnsi="Arial"/>
          <w:b/>
          <w:bCs/>
          <w:color w:val="1F3864"/>
          <w:sz w:val="22"/>
          <w:szCs w:val="22"/>
        </w:rPr>
        <w:t xml:space="preserve">3.2.4 EU Representative</w:t>
      </w:r>
    </w:p>
    <w:p>
      <w:pPr>
        <w:spacing w:before="60" w:after="100"/>
      </w:pPr>
      <w:r>
        <w:rPr>
          <w:rFonts w:ascii="Arial" w:cs="Arial" w:eastAsia="Arial" w:hAnsi="Arial"/>
          <w:sz w:val="22"/>
          <w:szCs w:val="22"/>
        </w:rPr>
        <w:t xml:space="preserve">Companies not established in the EU that process EU resident data must designate an EU representative under GDPR Article 27. Recommended service: DataRep (datarep.com) — approximately $500-1,000/year. The representative receives communications from EU data protection authorities on your behalf.</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4. Payment &amp; Pricing Localization</w:t>
      </w:r>
    </w:p>
    <w:p>
      <w:pPr>
        <w:pStyle w:val="Heading2"/>
        <w:spacing w:before="280" w:after="100"/>
      </w:pPr>
      <w:r>
        <w:rPr>
          <w:rFonts w:ascii="Arial" w:cs="Arial" w:eastAsia="Arial" w:hAnsi="Arial"/>
          <w:b/>
          <w:bCs/>
          <w:color w:val="2E5090"/>
          <w:sz w:val="26"/>
          <w:szCs w:val="26"/>
        </w:rPr>
        <w:t xml:space="preserve">4.1 Currency Support</w:t>
      </w:r>
    </w:p>
    <w:p>
      <w:pPr>
        <w:spacing w:before="60" w:after="100"/>
      </w:pPr>
      <w:r>
        <w:rPr>
          <w:rFonts w:ascii="Arial" w:cs="Arial" w:eastAsia="Arial" w:hAnsi="Arial"/>
          <w:sz w:val="22"/>
          <w:szCs w:val="22"/>
        </w:rPr>
        <w:t xml:space="preserve">Stripe supports 135+ currencies. Configure automatic currency detection based on browser locale and IP geolocation. Display prices in local currency on the pricing page while charging in that currency through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760"/>
      </w:tblGrid>
      <w:tr>
        <w:trPr>
          <w:tblHeader/>
        </w:trPr>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Market</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Currency</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Stripe Currency Code</w:t>
            </w:r>
          </w:p>
        </w:tc>
        <w:tc>
          <w:tcPr>
            <w:tcW w:type="dxa" w:w="3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Price Equivalents (approx)</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United States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 Dollar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$29 / $49 / $299 / $799</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United Kingdom</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British Pound</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GBP</w:t>
            </w:r>
          </w:p>
        </w:tc>
        <w:tc>
          <w:tcPr>
            <w:tcW w:type="dxa" w:w="3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£23 / £39 / £239 / £639</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European Union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Euro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EUR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€27 / €45 / €279 / €749</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Australia</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Australian Dollar</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AUD</w:t>
            </w:r>
          </w:p>
        </w:tc>
        <w:tc>
          <w:tcPr>
            <w:tcW w:type="dxa" w:w="3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A$45 / A$75 / A$459 / A$1,229</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Canada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Canadian Dollar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C$40 / C$67 / C$409 / C$1,089</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Japan</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Japanese Yen</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JPY</w:t>
            </w:r>
          </w:p>
        </w:tc>
        <w:tc>
          <w:tcPr>
            <w:tcW w:type="dxa" w:w="3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¥4,400 / ¥7,400 / ¥45,000 / ¥120,000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Prices should be reviewed and adjusted at time of international launch based on current exchange rates and local market pricing norms. The equivalents above are approximate and should not be hardcoded — use Stripe's automatic currency conversion or set explicit local prices in the Stripe dashboard.</w:t>
            </w:r>
          </w:p>
        </w:tc>
      </w:tr>
    </w:tbl>
    <w:p>
      <w:pPr>
        <w:spacing w:before="120" w:after="0"/>
      </w:pPr>
    </w:p>
    <w:p>
      <w:pPr>
        <w:pStyle w:val="Heading2"/>
        <w:spacing w:before="280" w:after="100"/>
      </w:pPr>
      <w:r>
        <w:rPr>
          <w:rFonts w:ascii="Arial" w:cs="Arial" w:eastAsia="Arial" w:hAnsi="Arial"/>
          <w:b/>
          <w:bCs/>
          <w:color w:val="2E5090"/>
          <w:sz w:val="26"/>
          <w:szCs w:val="26"/>
        </w:rPr>
        <w:t xml:space="preserve">4.2 Tax Collection by Region</w:t>
      </w:r>
    </w:p>
    <w:p>
      <w:pPr>
        <w:spacing w:before="60" w:after="100"/>
      </w:pPr>
      <w:r>
        <w:rPr>
          <w:rFonts w:ascii="Arial" w:cs="Arial" w:eastAsia="Arial" w:hAnsi="Arial"/>
          <w:sz w:val="22"/>
          <w:szCs w:val="22"/>
        </w:rPr>
        <w:t xml:space="preserve">Use Stripe Tax for automatic tax calculation and collection. Register for tax collection in each market before selling there — Stripe Tax handles calculation but you must be registered in each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200"/>
        <w:gridCol w:w="2560"/>
      </w:tblGrid>
      <w:tr>
        <w:trPr>
          <w:tblHeader/>
        </w:trPr>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Tax Type</w:t>
            </w:r>
          </w:p>
        </w:tc>
        <w:tc>
          <w:tcPr>
            <w:tcW w:type="dxa" w:w="1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Rate</w:t>
            </w:r>
          </w:p>
        </w:tc>
        <w:tc>
          <w:tcPr>
            <w:tcW w:type="dxa" w:w="1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Stripe Tax</w:t>
            </w:r>
          </w:p>
        </w:tc>
        <w:tc>
          <w:tcPr>
            <w:tcW w:type="dxa" w:w="2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Registration Required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United Kingdom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VAT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Automatic</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UK VAT registration — threshold: £85,000 turnover</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European Union</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VAT</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17-27% by country</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Automatic</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EU VAT OSS registration via any EU member state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Australia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GST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Automatic</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ATO GST registration — threshold: A$75,000 turnover</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Canada</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GST/HST/PST</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5-15% by province</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Automatic</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CRA GST/HST registration — threshold: C$30,000 turnover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Japan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Consumption Tax</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Automatic</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NTA registration — threshold: ¥10 million revenue</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United States</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Sales Tax</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0-10% by state</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Automatic</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Economic nexus by state — consult tax advisor</w:t>
            </w:r>
          </w:p>
        </w:tc>
      </w:tr>
    </w:tbl>
    <w:p>
      <w:pPr>
        <w:spacing w:before="120" w:after="0"/>
      </w:pPr>
    </w:p>
    <w:p>
      <w:pPr>
        <w:pStyle w:val="Heading2"/>
        <w:spacing w:before="280" w:after="100"/>
      </w:pPr>
      <w:r>
        <w:rPr>
          <w:rFonts w:ascii="Arial" w:cs="Arial" w:eastAsia="Arial" w:hAnsi="Arial"/>
          <w:b/>
          <w:bCs/>
          <w:color w:val="2E5090"/>
          <w:sz w:val="26"/>
          <w:szCs w:val="26"/>
        </w:rPr>
        <w:t xml:space="preserve">4.3 Local Payment Methods</w:t>
      </w:r>
    </w:p>
    <w:p>
      <w:pPr>
        <w:spacing w:before="60" w:after="100"/>
      </w:pPr>
      <w:r>
        <w:rPr>
          <w:rFonts w:ascii="Arial" w:cs="Arial" w:eastAsia="Arial" w:hAnsi="Arial"/>
          <w:sz w:val="22"/>
          <w:szCs w:val="22"/>
        </w:rPr>
        <w:t xml:space="preserve">Credit cards dominate in English-speaking markets. European markets have strong preferences for local payment methods. Add these via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60"/>
        <w:gridCol w:w="34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Payment Method</w:t>
            </w:r>
          </w:p>
        </w:tc>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Markets</w:t>
            </w:r>
          </w:p>
        </w:tc>
        <w:tc>
          <w:tcPr>
            <w:tcW w:type="dxa" w:w="1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Stripe Product</w:t>
            </w:r>
          </w:p>
        </w:tc>
        <w:tc>
          <w:tcPr>
            <w:tcW w:type="dxa" w:w="3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Credit / Debit Card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markets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Payments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Default — already implemented</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SEPA Direct Debit</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Germany, Netherlands, France, EU</w:t>
            </w:r>
          </w:p>
        </w:tc>
        <w:tc>
          <w:tcPr>
            <w:tcW w:type="dxa" w:w="1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Stripe SEPA</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for German market — bank transfers preferred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iDEAL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Netherlands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iDEAL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90%+ of Dutch online payments use iDEAL</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Bancontact</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Belgium</w:t>
            </w:r>
          </w:p>
        </w:tc>
        <w:tc>
          <w:tcPr>
            <w:tcW w:type="dxa" w:w="1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Stripe Bancontact</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Major Belgian payment method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PayPal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Global</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Stripe PayPal (via Stripe)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Strong in Germany and Australia — optional</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BLIK</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Poland</w:t>
            </w:r>
          </w:p>
        </w:tc>
        <w:tc>
          <w:tcPr>
            <w:tcW w:type="dxa" w:w="1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Stripe BLIK</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if expanding to Poland</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5. Language Localization (i18n)</w:t>
      </w:r>
    </w:p>
    <w:p>
      <w:pPr>
        <w:pStyle w:val="Heading2"/>
        <w:spacing w:before="280" w:after="100"/>
      </w:pPr>
      <w:r>
        <w:rPr>
          <w:rFonts w:ascii="Arial" w:cs="Arial" w:eastAsia="Arial" w:hAnsi="Arial"/>
          <w:b/>
          <w:bCs/>
          <w:color w:val="2E5090"/>
          <w:sz w:val="26"/>
          <w:szCs w:val="26"/>
        </w:rPr>
        <w:t xml:space="preserve">5.1 Technical Implementation</w:t>
      </w:r>
    </w:p>
    <w:p>
      <w:pPr>
        <w:spacing w:before="60" w:after="100"/>
      </w:pPr>
      <w:r>
        <w:rPr>
          <w:rFonts w:ascii="Arial" w:cs="Arial" w:eastAsia="Arial" w:hAnsi="Arial"/>
          <w:sz w:val="22"/>
          <w:szCs w:val="22"/>
        </w:rPr>
        <w:t xml:space="preserve">Use react-i18next for all frontend localization. This must be implemented as a foundational change before any translation work begins. The US version should serve as the reference implementation — all strings extracted to translation files before any international launch.</w:t>
      </w:r>
    </w:p>
    <w:p>
      <w:pPr>
        <w:spacing w:before="200" w:after="80"/>
      </w:pPr>
      <w:r>
        <w:rPr>
          <w:rFonts w:ascii="Arial" w:cs="Arial" w:eastAsia="Arial" w:hAnsi="Arial"/>
          <w:b/>
          <w:bCs/>
          <w:color w:val="1F3864"/>
          <w:sz w:val="22"/>
          <w:szCs w:val="22"/>
        </w:rPr>
        <w:t xml:space="preserve">5.1.1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Install dependencies</w:t>
            </w:r>
          </w:p>
          <w:p>
            <w:pPr>
              <w:spacing w:before="20" w:after="20"/>
            </w:pPr>
            <w:r>
              <w:rPr>
                <w:rFonts w:ascii="Courier New" w:cs="Courier New" w:eastAsia="Courier New" w:hAnsi="Courier New"/>
                <w:color w:val="1F3864"/>
                <w:sz w:val="18"/>
                <w:szCs w:val="18"/>
              </w:rPr>
              <w:t xml:space="preserve">npm install react-i18next i18next i18next-browser-languagedetector</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File structure</w:t>
            </w:r>
          </w:p>
          <w:p>
            <w:pPr>
              <w:spacing w:before="20" w:after="20"/>
            </w:pPr>
            <w:r>
              <w:rPr>
                <w:rFonts w:ascii="Courier New" w:cs="Courier New" w:eastAsia="Courier New" w:hAnsi="Courier New"/>
                <w:color w:val="1F3864"/>
                <w:sz w:val="18"/>
                <w:szCs w:val="18"/>
              </w:rPr>
              <w:t xml:space="preserve">web/</w:t>
            </w:r>
          </w:p>
          <w:p>
            <w:pPr>
              <w:spacing w:before="20" w:after="20"/>
            </w:pPr>
            <w:r>
              <w:rPr>
                <w:rFonts w:ascii="Courier New" w:cs="Courier New" w:eastAsia="Courier New" w:hAnsi="Courier New"/>
                <w:color w:val="1F3864"/>
                <w:sz w:val="18"/>
                <w:szCs w:val="18"/>
              </w:rPr>
              <w:t xml:space="preserve">  public/</w:t>
            </w:r>
          </w:p>
          <w:p>
            <w:pPr>
              <w:spacing w:before="20" w:after="20"/>
            </w:pPr>
            <w:r>
              <w:rPr>
                <w:rFonts w:ascii="Courier New" w:cs="Courier New" w:eastAsia="Courier New" w:hAnsi="Courier New"/>
                <w:color w:val="1F3864"/>
                <w:sz w:val="18"/>
                <w:szCs w:val="18"/>
              </w:rPr>
              <w:t xml:space="preserve">    locales/</w:t>
            </w:r>
          </w:p>
          <w:p>
            <w:pPr>
              <w:spacing w:before="20" w:after="20"/>
            </w:pPr>
            <w:r>
              <w:rPr>
                <w:rFonts w:ascii="Courier New" w:cs="Courier New" w:eastAsia="Courier New" w:hAnsi="Courier New"/>
                <w:color w:val="1F3864"/>
                <w:sz w:val="18"/>
                <w:szCs w:val="18"/>
              </w:rPr>
              <w:t xml:space="preserve">      en-US/</w:t>
            </w:r>
          </w:p>
          <w:p>
            <w:pPr>
              <w:spacing w:before="20" w:after="20"/>
            </w:pPr>
            <w:r>
              <w:rPr>
                <w:rFonts w:ascii="Courier New" w:cs="Courier New" w:eastAsia="Courier New" w:hAnsi="Courier New"/>
                <w:color w:val="1F3864"/>
                <w:sz w:val="18"/>
                <w:szCs w:val="18"/>
              </w:rPr>
              <w:t xml:space="preserve">        common.json      // shared strings</w:t>
            </w:r>
          </w:p>
          <w:p>
            <w:pPr>
              <w:spacing w:before="20" w:after="20"/>
            </w:pPr>
            <w:r>
              <w:rPr>
                <w:rFonts w:ascii="Courier New" w:cs="Courier New" w:eastAsia="Courier New" w:hAnsi="Courier New"/>
                <w:color w:val="1F3864"/>
                <w:sz w:val="18"/>
                <w:szCs w:val="18"/>
              </w:rPr>
              <w:t xml:space="preserve">        dashboard.json   // organizer dashboard</w:t>
            </w:r>
          </w:p>
          <w:p>
            <w:pPr>
              <w:spacing w:before="20" w:after="20"/>
            </w:pPr>
            <w:r>
              <w:rPr>
                <w:rFonts w:ascii="Courier New" w:cs="Courier New" w:eastAsia="Courier New" w:hAnsi="Courier New"/>
                <w:color w:val="1F3864"/>
                <w:sz w:val="18"/>
                <w:szCs w:val="18"/>
              </w:rPr>
              <w:t xml:space="preserve">        rider.json       // rider hub and results</w:t>
            </w:r>
          </w:p>
          <w:p>
            <w:pPr>
              <w:spacing w:before="20" w:after="20"/>
            </w:pPr>
            <w:r>
              <w:rPr>
                <w:rFonts w:ascii="Courier New" w:cs="Courier New" w:eastAsia="Courier New" w:hAnsi="Courier New"/>
                <w:color w:val="1F3864"/>
                <w:sz w:val="18"/>
                <w:szCs w:val="18"/>
              </w:rPr>
              <w:t xml:space="preserve">        email.json       // email template strings</w:t>
            </w:r>
          </w:p>
          <w:p>
            <w:pPr>
              <w:spacing w:before="20" w:after="20"/>
            </w:pPr>
            <w:r>
              <w:rPr>
                <w:rFonts w:ascii="Courier New" w:cs="Courier New" w:eastAsia="Courier New" w:hAnsi="Courier New"/>
                <w:color w:val="1F3864"/>
                <w:sz w:val="18"/>
                <w:szCs w:val="18"/>
              </w:rPr>
              <w:t xml:space="preserve">        legal.json       // privacy policy, terms</w:t>
            </w:r>
          </w:p>
          <w:p>
            <w:pPr>
              <w:spacing w:before="20" w:after="20"/>
            </w:pPr>
            <w:r>
              <w:rPr>
                <w:rFonts w:ascii="Courier New" w:cs="Courier New" w:eastAsia="Courier New" w:hAnsi="Courier New"/>
                <w:color w:val="1F3864"/>
                <w:sz w:val="18"/>
                <w:szCs w:val="18"/>
              </w:rPr>
              <w:t xml:space="preserve">      en-GB/</w:t>
            </w:r>
          </w:p>
          <w:p>
            <w:pPr>
              <w:spacing w:before="20" w:after="20"/>
            </w:pPr>
            <w:r>
              <w:rPr>
                <w:rFonts w:ascii="Courier New" w:cs="Courier New" w:eastAsia="Courier New" w:hAnsi="Courier New"/>
                <w:color w:val="1F3864"/>
                <w:sz w:val="18"/>
                <w:szCs w:val="18"/>
              </w:rPr>
              <w:t xml:space="preserve">        common.json      // British English variants</w:t>
            </w:r>
          </w:p>
          <w:p>
            <w:pPr>
              <w:spacing w:before="20" w:after="20"/>
            </w:pPr>
            <w:r>
              <w:rPr>
                <w:rFonts w:ascii="Courier New" w:cs="Courier New" w:eastAsia="Courier New" w:hAnsi="Courier New"/>
                <w:color w:val="1F3864"/>
                <w:sz w:val="18"/>
                <w:szCs w:val="18"/>
              </w:rPr>
              <w:t xml:space="preserve">      fr/</w:t>
            </w:r>
          </w:p>
          <w:p>
            <w:pPr>
              <w:spacing w:before="20" w:after="20"/>
            </w:pPr>
            <w:r>
              <w:rPr>
                <w:rFonts w:ascii="Courier New" w:cs="Courier New" w:eastAsia="Courier New" w:hAnsi="Courier New"/>
                <w:color w:val="1F3864"/>
                <w:sz w:val="18"/>
                <w:szCs w:val="18"/>
              </w:rPr>
              <w:t xml:space="preserve">        common.json</w:t>
            </w:r>
          </w:p>
          <w:p>
            <w:pPr>
              <w:spacing w:before="20" w:after="20"/>
            </w:pPr>
            <w:r>
              <w:rPr>
                <w:rFonts w:ascii="Courier New" w:cs="Courier New" w:eastAsia="Courier New" w:hAnsi="Courier New"/>
                <w:color w:val="1F3864"/>
                <w:sz w:val="18"/>
                <w:szCs w:val="18"/>
              </w:rPr>
              <w:t xml:space="preserve">        dashboard.json   // etc.</w:t>
            </w:r>
          </w:p>
          <w:p>
            <w:pPr>
              <w:spacing w:before="20" w:after="20"/>
            </w:pPr>
            <w:r>
              <w:rPr>
                <w:rFonts w:ascii="Courier New" w:cs="Courier New" w:eastAsia="Courier New" w:hAnsi="Courier New"/>
                <w:color w:val="1F3864"/>
                <w:sz w:val="18"/>
                <w:szCs w:val="18"/>
              </w:rPr>
              <w:t xml:space="preserve">      de/</w:t>
            </w:r>
          </w:p>
          <w:p>
            <w:pPr>
              <w:spacing w:before="20" w:after="20"/>
            </w:pPr>
            <w:r>
              <w:rPr>
                <w:rFonts w:ascii="Courier New" w:cs="Courier New" w:eastAsia="Courier New" w:hAnsi="Courier New"/>
                <w:color w:val="1F3864"/>
                <w:sz w:val="18"/>
                <w:szCs w:val="18"/>
              </w:rPr>
              <w:t xml:space="preserve">        common.json</w:t>
            </w:r>
          </w:p>
          <w:p>
            <w:pPr>
              <w:spacing w:before="20" w:after="20"/>
            </w:pPr>
            <w:r>
              <w:rPr>
                <w:rFonts w:ascii="Courier New" w:cs="Courier New" w:eastAsia="Courier New" w:hAnsi="Courier New"/>
                <w:color w:val="1F3864"/>
                <w:sz w:val="18"/>
                <w:szCs w:val="18"/>
              </w:rPr>
              <w:t xml:space="preserve">        // etc.</w:t>
            </w:r>
          </w:p>
          <w:p>
            <w:pPr>
              <w:spacing w:before="20" w:after="20"/>
            </w:pPr>
            <w:r>
              <w:rPr>
                <w:rFonts w:ascii="Courier New" w:cs="Courier New" w:eastAsia="Courier New" w:hAnsi="Courier New"/>
                <w:color w:val="1F3864"/>
                <w:sz w:val="18"/>
                <w:szCs w:val="18"/>
              </w:rPr>
              <w:t xml:space="preserve">      es/</w:t>
            </w:r>
          </w:p>
          <w:p>
            <w:pPr>
              <w:spacing w:before="20" w:after="20"/>
            </w:pPr>
            <w:r>
              <w:rPr>
                <w:rFonts w:ascii="Courier New" w:cs="Courier New" w:eastAsia="Courier New" w:hAnsi="Courier New"/>
                <w:color w:val="1F3864"/>
                <w:sz w:val="18"/>
                <w:szCs w:val="18"/>
              </w:rPr>
              <w:t xml:space="preserve">        common.json</w:t>
            </w:r>
          </w:p>
          <w:p>
            <w:pPr>
              <w:spacing w:before="20" w:after="20"/>
            </w:pPr>
            <w:r>
              <w:rPr>
                <w:rFonts w:ascii="Courier New" w:cs="Courier New" w:eastAsia="Courier New" w:hAnsi="Courier New"/>
                <w:color w:val="1F3864"/>
                <w:sz w:val="18"/>
                <w:szCs w:val="18"/>
              </w:rPr>
              <w:t xml:space="preserve">        // etc.</w:t>
            </w:r>
          </w:p>
        </w:tc>
      </w:tr>
    </w:tbl>
    <w:p>
      <w:pPr>
        <w:spacing w:before="80" w:after="0"/>
      </w:pPr>
    </w:p>
    <w:p>
      <w:pPr>
        <w:spacing w:before="200" w:after="80"/>
      </w:pPr>
      <w:r>
        <w:rPr>
          <w:rFonts w:ascii="Arial" w:cs="Arial" w:eastAsia="Arial" w:hAnsi="Arial"/>
          <w:b/>
          <w:bCs/>
          <w:color w:val="1F3864"/>
          <w:sz w:val="22"/>
          <w:szCs w:val="22"/>
        </w:rPr>
        <w:t xml:space="preserve">5.1.2 String Categories to Extract</w:t>
      </w:r>
    </w:p>
    <w:p>
      <w:pPr>
        <w:spacing w:before="60" w:after="100"/>
      </w:pPr>
      <w:r>
        <w:rPr>
          <w:rFonts w:ascii="Arial" w:cs="Arial" w:eastAsia="Arial" w:hAnsi="Arial"/>
          <w:sz w:val="22"/>
          <w:szCs w:val="22"/>
        </w:rPr>
        <w:t xml:space="preserve">All user-facing strings must be extracted. Priority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Estimated Strings</w:t>
            </w:r>
          </w:p>
        </w:tc>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Translation Priority</w:t>
            </w:r>
          </w:p>
        </w:tc>
        <w:tc>
          <w:tcPr>
            <w:tcW w:type="dxa" w:w="4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Navigation and menus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Organizer dashboard nav, rider hub nav</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 creation wizard</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P1</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All 5 steps including labels, placeholders, help 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Compliance dashboard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Status labels, filter options, column headers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detail and DQ workflow</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P1</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Stop result labels, DQ confirmation 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hub page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Connect buttons, download labels, status messages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Compliance report</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P1</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Report headers, stop status, email subject lines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templates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Route email, reminders, report delivery, DQ notification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Error messages</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P2</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Form validation, API errors, connection failures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Podium check screen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Search placeholder, card labels, status badges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Pricing and billing</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P2</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Tier names, feature descriptions, upgrade prompts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Legal and privacy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P1 — professional translation required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Privacy policy, terms of service, cookie consent</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Admin and sponsorship</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P3</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Internal admin pages — lower priority</w:t>
            </w:r>
          </w:p>
        </w:tc>
      </w:tr>
    </w:tbl>
    <w:p>
      <w:pPr>
        <w:spacing w:before="80" w:after="0"/>
      </w:pPr>
    </w:p>
    <w:p>
      <w:pPr>
        <w:spacing w:before="200" w:after="80"/>
      </w:pPr>
      <w:r>
        <w:rPr>
          <w:rFonts w:ascii="Arial" w:cs="Arial" w:eastAsia="Arial" w:hAnsi="Arial"/>
          <w:b/>
          <w:bCs/>
          <w:color w:val="1F3864"/>
          <w:sz w:val="22"/>
          <w:szCs w:val="22"/>
        </w:rPr>
        <w:t xml:space="preserve">5.1.3 Locale Detection and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i18n initialization — auto-detect browser locale</w:t>
            </w:r>
          </w:p>
          <w:p>
            <w:pPr>
              <w:spacing w:before="20" w:after="20"/>
            </w:pPr>
            <w:r>
              <w:rPr>
                <w:rFonts w:ascii="Courier New" w:cs="Courier New" w:eastAsia="Courier New" w:hAnsi="Courier New"/>
                <w:color w:val="1F3864"/>
                <w:sz w:val="18"/>
                <w:szCs w:val="18"/>
              </w:rPr>
              <w:t xml:space="preserve">import i18n from 'i18next';</w:t>
            </w:r>
          </w:p>
          <w:p>
            <w:pPr>
              <w:spacing w:before="20" w:after="20"/>
            </w:pPr>
            <w:r>
              <w:rPr>
                <w:rFonts w:ascii="Courier New" w:cs="Courier New" w:eastAsia="Courier New" w:hAnsi="Courier New"/>
                <w:color w:val="1F3864"/>
                <w:sz w:val="18"/>
                <w:szCs w:val="18"/>
              </w:rPr>
              <w:t xml:space="preserve">import { initReactI18next } from 'react-i18next';</w:t>
            </w:r>
          </w:p>
          <w:p>
            <w:pPr>
              <w:spacing w:before="20" w:after="20"/>
            </w:pPr>
            <w:r>
              <w:rPr>
                <w:rFonts w:ascii="Courier New" w:cs="Courier New" w:eastAsia="Courier New" w:hAnsi="Courier New"/>
                <w:color w:val="1F3864"/>
                <w:sz w:val="18"/>
                <w:szCs w:val="18"/>
              </w:rPr>
              <w:t xml:space="preserve">import LanguageDetector from 'i18next-browser-languagedetector';</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i18n</w:t>
            </w:r>
          </w:p>
          <w:p>
            <w:pPr>
              <w:spacing w:before="20" w:after="20"/>
            </w:pPr>
            <w:r>
              <w:rPr>
                <w:rFonts w:ascii="Courier New" w:cs="Courier New" w:eastAsia="Courier New" w:hAnsi="Courier New"/>
                <w:color w:val="1F3864"/>
                <w:sz w:val="18"/>
                <w:szCs w:val="18"/>
              </w:rPr>
              <w:t xml:space="preserve">  .use(LanguageDetector)</w:t>
            </w:r>
          </w:p>
          <w:p>
            <w:pPr>
              <w:spacing w:before="20" w:after="20"/>
            </w:pPr>
            <w:r>
              <w:rPr>
                <w:rFonts w:ascii="Courier New" w:cs="Courier New" w:eastAsia="Courier New" w:hAnsi="Courier New"/>
                <w:color w:val="1F3864"/>
                <w:sz w:val="18"/>
                <w:szCs w:val="18"/>
              </w:rPr>
              <w:t xml:space="preserve">  .use(initReactI18next)</w:t>
            </w:r>
          </w:p>
          <w:p>
            <w:pPr>
              <w:spacing w:before="20" w:after="20"/>
            </w:pPr>
            <w:r>
              <w:rPr>
                <w:rFonts w:ascii="Courier New" w:cs="Courier New" w:eastAsia="Courier New" w:hAnsi="Courier New"/>
                <w:color w:val="1F3864"/>
                <w:sz w:val="18"/>
                <w:szCs w:val="18"/>
              </w:rPr>
              <w:t xml:space="preserve">  .init({</w:t>
            </w:r>
          </w:p>
          <w:p>
            <w:pPr>
              <w:spacing w:before="20" w:after="20"/>
            </w:pPr>
            <w:r>
              <w:rPr>
                <w:rFonts w:ascii="Courier New" w:cs="Courier New" w:eastAsia="Courier New" w:hAnsi="Courier New"/>
                <w:color w:val="1F3864"/>
                <w:sz w:val="18"/>
                <w:szCs w:val="18"/>
              </w:rPr>
              <w:t xml:space="preserve">    fallbackLng: 'en-US',</w:t>
            </w:r>
          </w:p>
          <w:p>
            <w:pPr>
              <w:spacing w:before="20" w:after="20"/>
            </w:pPr>
            <w:r>
              <w:rPr>
                <w:rFonts w:ascii="Courier New" w:cs="Courier New" w:eastAsia="Courier New" w:hAnsi="Courier New"/>
                <w:color w:val="1F3864"/>
                <w:sz w:val="18"/>
                <w:szCs w:val="18"/>
              </w:rPr>
              <w:t xml:space="preserve">    supportedLngs: ['en-US', 'en-GB', 'fr', 'de', 'es'],</w:t>
            </w:r>
          </w:p>
          <w:p>
            <w:pPr>
              <w:spacing w:before="20" w:after="20"/>
            </w:pPr>
            <w:r>
              <w:rPr>
                <w:rFonts w:ascii="Courier New" w:cs="Courier New" w:eastAsia="Courier New" w:hAnsi="Courier New"/>
                <w:color w:val="1F3864"/>
                <w:sz w:val="18"/>
                <w:szCs w:val="18"/>
              </w:rPr>
              <w:t xml:space="preserve">    detection: {</w:t>
            </w:r>
          </w:p>
          <w:p>
            <w:pPr>
              <w:spacing w:before="20" w:after="20"/>
            </w:pPr>
            <w:r>
              <w:rPr>
                <w:rFonts w:ascii="Courier New" w:cs="Courier New" w:eastAsia="Courier New" w:hAnsi="Courier New"/>
                <w:color w:val="1F3864"/>
                <w:sz w:val="18"/>
                <w:szCs w:val="18"/>
              </w:rPr>
              <w:t xml:space="preserve">      order: ['querystring', 'cookie', 'navigator'],</w:t>
            </w:r>
          </w:p>
          <w:p>
            <w:pPr>
              <w:spacing w:before="20" w:after="20"/>
            </w:pPr>
            <w:r>
              <w:rPr>
                <w:rFonts w:ascii="Courier New" w:cs="Courier New" w:eastAsia="Courier New" w:hAnsi="Courier New"/>
                <w:color w:val="1F3864"/>
                <w:sz w:val="18"/>
                <w:szCs w:val="18"/>
              </w:rPr>
              <w:t xml:space="preserve">      lookupQuerystring: 'lang',</w:t>
            </w:r>
          </w:p>
          <w:p>
            <w:pPr>
              <w:spacing w:before="20" w:after="20"/>
            </w:pPr>
            <w:r>
              <w:rPr>
                <w:rFonts w:ascii="Courier New" w:cs="Courier New" w:eastAsia="Courier New" w:hAnsi="Courier New"/>
                <w:color w:val="1F3864"/>
                <w:sz w:val="18"/>
                <w:szCs w:val="18"/>
              </w:rPr>
              <w:t xml:space="preserve">      cacheUserLanguage: true,</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interpolation: { escapeValue: false },</w:t>
            </w:r>
          </w:p>
          <w:p>
            <w:pPr>
              <w:spacing w:before="20" w:after="20"/>
            </w:pPr>
            <w:r>
              <w:rPr>
                <w:rFonts w:ascii="Courier New" w:cs="Courier New" w:eastAsia="Courier New" w:hAnsi="Courier New"/>
                <w:color w:val="1F3864"/>
                <w:sz w:val="18"/>
                <w:szCs w:val="18"/>
              </w:rPr>
              <w:t xml:space="preserve">    backend: { loadPath: '/locales/{{lng}}/{{ns}}.json' },</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Organizer can override locale in account settings</w:t>
            </w:r>
          </w:p>
          <w:p>
            <w:pPr>
              <w:spacing w:before="20" w:after="20"/>
            </w:pPr>
            <w:r>
              <w:rPr>
                <w:rFonts w:ascii="Courier New" w:cs="Courier New" w:eastAsia="Courier New" w:hAnsi="Courier New"/>
                <w:color w:val="1F3864"/>
                <w:sz w:val="18"/>
                <w:szCs w:val="18"/>
              </w:rPr>
              <w:t xml:space="preserve">// Rider hub page uses organizer's event locale setting</w:t>
            </w:r>
          </w:p>
        </w:tc>
      </w:tr>
    </w:tbl>
    <w:p>
      <w:pPr>
        <w:spacing w:before="80" w:after="0"/>
      </w:pPr>
    </w:p>
    <w:p>
      <w:pPr>
        <w:pStyle w:val="Heading2"/>
        <w:spacing w:before="280" w:after="100"/>
      </w:pPr>
      <w:r>
        <w:rPr>
          <w:rFonts w:ascii="Arial" w:cs="Arial" w:eastAsia="Arial" w:hAnsi="Arial"/>
          <w:b/>
          <w:bCs/>
          <w:color w:val="2E5090"/>
          <w:sz w:val="26"/>
          <w:szCs w:val="26"/>
        </w:rPr>
        <w:t xml:space="preserve">5.2 Translation Quality Requirements</w:t>
      </w:r>
    </w:p>
    <w:p>
      <w:pPr>
        <w:spacing w:before="60" w:after="100"/>
      </w:pPr>
      <w:r>
        <w:rPr>
          <w:rFonts w:ascii="Arial" w:cs="Arial" w:eastAsia="Arial" w:hAnsi="Arial"/>
          <w:sz w:val="22"/>
          <w:szCs w:val="22"/>
        </w:rPr>
        <w:t xml:space="preserve">Machine translation is not acceptable for production. Use professional human translators for all languages. Specific requirements:</w:t>
      </w:r>
    </w:p>
    <w:p>
      <w:pPr>
        <w:pStyle w:val="ListParagraph"/>
        <w:numPr>
          <w:ilvl w:val="0"/>
          <w:numId w:val="2"/>
        </w:numPr>
        <w:spacing w:before="40" w:after="40"/>
      </w:pPr>
      <w:r>
        <w:rPr>
          <w:rFonts w:ascii="Arial" w:cs="Arial" w:eastAsia="Arial" w:hAnsi="Arial"/>
          <w:sz w:val="22"/>
          <w:szCs w:val="22"/>
        </w:rPr>
        <w:t xml:space="preserve">All legal text (privacy policy, terms, GDPR consent) must be translated by a qualified legal translator — not a general translation service</w:t>
      </w:r>
    </w:p>
    <w:p>
      <w:pPr>
        <w:pStyle w:val="ListParagraph"/>
        <w:numPr>
          <w:ilvl w:val="0"/>
          <w:numId w:val="2"/>
        </w:numPr>
        <w:spacing w:before="40" w:after="40"/>
      </w:pPr>
      <w:r>
        <w:rPr>
          <w:rFonts w:ascii="Arial" w:cs="Arial" w:eastAsia="Arial" w:hAnsi="Arial"/>
          <w:sz w:val="22"/>
          <w:szCs w:val="22"/>
        </w:rPr>
        <w:t xml:space="preserve">UI strings may use a professional translation service such as DeepL Pro or a native speaker freelancer — verify all cycling-specific terminology</w:t>
      </w:r>
    </w:p>
    <w:p>
      <w:pPr>
        <w:pStyle w:val="ListParagraph"/>
        <w:numPr>
          <w:ilvl w:val="0"/>
          <w:numId w:val="2"/>
        </w:numPr>
        <w:spacing w:before="40" w:after="40"/>
      </w:pPr>
      <w:r>
        <w:rPr>
          <w:rFonts w:ascii="Arial" w:cs="Arial" w:eastAsia="Arial" w:hAnsi="Arial"/>
          <w:sz w:val="22"/>
          <w:szCs w:val="22"/>
        </w:rPr>
        <w:t xml:space="preserve">Email templates must be reviewed by a native speaker in the target market — automated emails are the primary rider touchpoint</w:t>
      </w:r>
    </w:p>
    <w:p>
      <w:pPr>
        <w:pStyle w:val="ListParagraph"/>
        <w:numPr>
          <w:ilvl w:val="0"/>
          <w:numId w:val="2"/>
        </w:numPr>
        <w:spacing w:before="40" w:after="40"/>
      </w:pPr>
      <w:r>
        <w:rPr>
          <w:rFonts w:ascii="Arial" w:cs="Arial" w:eastAsia="Arial" w:hAnsi="Arial"/>
          <w:sz w:val="22"/>
          <w:szCs w:val="22"/>
        </w:rPr>
        <w:t xml:space="preserve">DQ notification emails require particularly careful translation — these deliver bad news and tone matters significantly</w:t>
      </w:r>
    </w:p>
    <w:p>
      <w:pPr>
        <w:pStyle w:val="ListParagraph"/>
        <w:numPr>
          <w:ilvl w:val="0"/>
          <w:numId w:val="2"/>
        </w:numPr>
        <w:spacing w:before="40" w:after="40"/>
      </w:pPr>
      <w:r>
        <w:rPr>
          <w:rFonts w:ascii="Arial" w:cs="Arial" w:eastAsia="Arial" w:hAnsi="Arial"/>
          <w:sz w:val="22"/>
          <w:szCs w:val="22"/>
        </w:rPr>
        <w:t xml:space="preserve">Cycling terminology varies by region — 'stop sign' has different equivalents across languages; use 'compliance checkpoint' as the international standard term and localize accordingly</w:t>
      </w:r>
    </w:p>
    <w:p>
      <w:pPr>
        <w:spacing w:before="80" w:after="0"/>
      </w:pPr>
    </w:p>
    <w:p>
      <w:pPr>
        <w:pStyle w:val="Heading2"/>
        <w:spacing w:before="280" w:after="100"/>
      </w:pPr>
      <w:r>
        <w:rPr>
          <w:rFonts w:ascii="Arial" w:cs="Arial" w:eastAsia="Arial" w:hAnsi="Arial"/>
          <w:b/>
          <w:bCs/>
          <w:color w:val="2E5090"/>
          <w:sz w:val="26"/>
          <w:szCs w:val="26"/>
        </w:rPr>
        <w:t xml:space="preserve">5.3 Right-to-Left Language Considerations</w:t>
      </w:r>
    </w:p>
    <w:p>
      <w:pPr>
        <w:spacing w:before="60" w:after="100"/>
      </w:pPr>
      <w:r>
        <w:rPr>
          <w:rFonts w:ascii="Arial" w:cs="Arial" w:eastAsia="Arial" w:hAnsi="Arial"/>
          <w:sz w:val="22"/>
          <w:szCs w:val="22"/>
        </w:rPr>
        <w:t xml:space="preserve">Arabic and Hebrew markets are not in the immediate expansion roadmap but the codebase should not actively prevent future RTL support. Use logical CSS properties (margin-inline-start vs margin-left) rather than directional properties throughout the frontend. This is a low-effort future-proofing measure that costs nothing if done from the start.</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6. Product Adaptations for International Markets</w:t>
      </w:r>
    </w:p>
    <w:p>
      <w:pPr>
        <w:pStyle w:val="Heading2"/>
        <w:spacing w:before="280" w:after="100"/>
      </w:pPr>
      <w:r>
        <w:rPr>
          <w:rFonts w:ascii="Arial" w:cs="Arial" w:eastAsia="Arial" w:hAnsi="Arial"/>
          <w:b/>
          <w:bCs/>
          <w:color w:val="2E5090"/>
          <w:sz w:val="26"/>
          <w:szCs w:val="26"/>
        </w:rPr>
        <w:t xml:space="preserve">6.1 Compliance Checkpoint Terminology</w:t>
      </w:r>
    </w:p>
    <w:p>
      <w:pPr>
        <w:spacing w:before="60" w:after="100"/>
      </w:pPr>
      <w:r>
        <w:rPr>
          <w:rFonts w:ascii="Arial" w:cs="Arial" w:eastAsia="Arial" w:hAnsi="Arial"/>
          <w:sz w:val="22"/>
          <w:szCs w:val="22"/>
        </w:rPr>
        <w:t xml:space="preserve">'Stop sign' is a US-centric term. International markets use different road infrastructure. This is not just a translation issue — it is a product design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Country</w:t>
            </w:r>
          </w:p>
        </w:tc>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Stop Sign Prevalence</w:t>
            </w:r>
          </w:p>
        </w:tc>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Dominant Intersection Control</w:t>
            </w:r>
          </w:p>
        </w:tc>
        <w:tc>
          <w:tcPr>
            <w:tcW w:type="dxa" w:w="3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Recommended Term</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 at most controlled intersections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 signs and traffic lights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 sign (US default)</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UK</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Medium — major junctions only</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Give way (yield) signs dominate</w:t>
            </w:r>
          </w:p>
        </w:tc>
        <w:tc>
          <w:tcPr>
            <w:tcW w:type="dxa" w:w="3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Compliance checkpoint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Australia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 similar to US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 signs and traffic lights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Compliance checkpoint</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France</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Low — priorité à droite common</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Give way signs, priority roads</w:t>
            </w:r>
          </w:p>
        </w:tc>
        <w:tc>
          <w:tcPr>
            <w:tcW w:type="dxa" w:w="3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Point de contrôle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Germany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 — yield signs (Vorfahrt gewähren) dominate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Yield signs and traffic lights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Kontrollpunkt</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Spain</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Mix of stop and ceda el paso</w:t>
            </w:r>
          </w:p>
        </w:tc>
        <w:tc>
          <w:tcPr>
            <w:tcW w:type="dxa" w:w="3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Punto de control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Netherlands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Very low — sharrows and roundabouts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Shark teeth yield markings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Controlepunt</w:t>
            </w:r>
          </w:p>
        </w:tc>
      </w:tr>
    </w:tbl>
    <w:p>
      <w:pPr>
        <w:spacing w:before="80" w:after="0"/>
      </w:pPr>
    </w:p>
    <w:p>
      <w:pPr>
        <w:spacing w:before="200" w:after="80"/>
      </w:pPr>
      <w:r>
        <w:rPr>
          <w:rFonts w:ascii="Arial" w:cs="Arial" w:eastAsia="Arial" w:hAnsi="Arial"/>
          <w:b/>
          <w:bCs/>
          <w:color w:val="1F3864"/>
          <w:sz w:val="22"/>
          <w:szCs w:val="22"/>
        </w:rPr>
        <w:t xml:space="preserve">6.1.1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Add to events table:</w:t>
            </w:r>
          </w:p>
          <w:p>
            <w:pPr>
              <w:spacing w:before="20" w:after="20"/>
            </w:pPr>
            <w:r>
              <w:rPr>
                <w:rFonts w:ascii="Courier New" w:cs="Courier New" w:eastAsia="Courier New" w:hAnsi="Courier New"/>
                <w:color w:val="1F3864"/>
                <w:sz w:val="18"/>
                <w:szCs w:val="18"/>
              </w:rPr>
              <w:t xml:space="preserve">ALTER TABLE events ADD COLUMN compliance_point_label TEXT DEFAULT 'Stop sign';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Organizer sets this during event creation</w:t>
            </w:r>
          </w:p>
          <w:p>
            <w:pPr>
              <w:spacing w:before="20" w:after="20"/>
            </w:pPr>
            <w:r>
              <w:rPr>
                <w:rFonts w:ascii="Courier New" w:cs="Courier New" w:eastAsia="Courier New" w:hAnsi="Courier New"/>
                <w:color w:val="1F3864"/>
                <w:sz w:val="18"/>
                <w:szCs w:val="18"/>
              </w:rPr>
              <w:t xml:space="preserve">-- Default changes based on event country:</w:t>
            </w:r>
          </w:p>
          <w:p>
            <w:pPr>
              <w:spacing w:before="20" w:after="20"/>
            </w:pPr>
            <w:r>
              <w:rPr>
                <w:rFonts w:ascii="Courier New" w:cs="Courier New" w:eastAsia="Courier New" w:hAnsi="Courier New"/>
                <w:color w:val="1F3864"/>
                <w:sz w:val="18"/>
                <w:szCs w:val="18"/>
              </w:rPr>
              <w:t xml:space="preserve">SELECT CASE</w:t>
            </w:r>
          </w:p>
          <w:p>
            <w:pPr>
              <w:spacing w:before="20" w:after="20"/>
            </w:pPr>
            <w:r>
              <w:rPr>
                <w:rFonts w:ascii="Courier New" w:cs="Courier New" w:eastAsia="Courier New" w:hAnsi="Courier New"/>
                <w:color w:val="1F3864"/>
                <w:sz w:val="18"/>
                <w:szCs w:val="18"/>
              </w:rPr>
              <w:t xml:space="preserve">  WHEN country IN ('US', 'AU', 'CA') THEN 'Stop sign'</w:t>
            </w:r>
          </w:p>
          <w:p>
            <w:pPr>
              <w:spacing w:before="20" w:after="20"/>
            </w:pPr>
            <w:r>
              <w:rPr>
                <w:rFonts w:ascii="Courier New" w:cs="Courier New" w:eastAsia="Courier New" w:hAnsi="Courier New"/>
                <w:color w:val="1F3864"/>
                <w:sz w:val="18"/>
                <w:szCs w:val="18"/>
              </w:rPr>
              <w:t xml:space="preserve">  ELSE 'Compliance checkpoint'</w:t>
            </w:r>
          </w:p>
          <w:p>
            <w:pPr>
              <w:spacing w:before="20" w:after="20"/>
            </w:pPr>
            <w:r>
              <w:rPr>
                <w:rFonts w:ascii="Courier New" w:cs="Courier New" w:eastAsia="Courier New" w:hAnsi="Courier New"/>
                <w:color w:val="1F3864"/>
                <w:sz w:val="18"/>
                <w:szCs w:val="18"/>
              </w:rPr>
              <w:t xml:space="preserve">END as default_label</w:t>
            </w:r>
          </w:p>
          <w:p>
            <w:pPr>
              <w:spacing w:before="20" w:after="20"/>
            </w:pPr>
            <w:r>
              <w:rPr>
                <w:rFonts w:ascii="Courier New" w:cs="Courier New" w:eastAsia="Courier New" w:hAnsi="Courier New"/>
                <w:color w:val="1F3864"/>
                <w:sz w:val="18"/>
                <w:szCs w:val="18"/>
              </w:rPr>
              <w:t xml:space="preserve">FROM events WHERE id = $1;</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All UI references to 'stop sign' use this label</w:t>
            </w:r>
          </w:p>
          <w:p>
            <w:pPr>
              <w:spacing w:before="20" w:after="20"/>
            </w:pPr>
            <w:r>
              <w:rPr>
                <w:rFonts w:ascii="Courier New" w:cs="Courier New" w:eastAsia="Courier New" w:hAnsi="Courier New"/>
                <w:color w:val="1F3864"/>
                <w:sz w:val="18"/>
                <w:szCs w:val="18"/>
              </w:rPr>
              <w:t xml:space="preserve">-- PDF reports use this label</w:t>
            </w:r>
          </w:p>
          <w:p>
            <w:pPr>
              <w:spacing w:before="20" w:after="20"/>
            </w:pPr>
            <w:r>
              <w:rPr>
                <w:rFonts w:ascii="Courier New" w:cs="Courier New" w:eastAsia="Courier New" w:hAnsi="Courier New"/>
                <w:color w:val="1F3864"/>
                <w:sz w:val="18"/>
                <w:szCs w:val="18"/>
              </w:rPr>
              <w:t xml:space="preserve">-- Email templates use this label</w:t>
            </w:r>
          </w:p>
          <w:p>
            <w:pPr>
              <w:spacing w:before="20" w:after="20"/>
            </w:pPr>
            <w:r>
              <w:rPr>
                <w:rFonts w:ascii="Courier New" w:cs="Courier New" w:eastAsia="Courier New" w:hAnsi="Courier New"/>
                <w:color w:val="1F3864"/>
                <w:sz w:val="18"/>
                <w:szCs w:val="18"/>
              </w:rPr>
              <w:t xml:space="preserve">-- OSM query still uses highway=stop internally</w:t>
            </w:r>
          </w:p>
        </w:tc>
      </w:tr>
    </w:tbl>
    <w:p>
      <w:pPr>
        <w:spacing w:before="120" w:after="0"/>
      </w:pPr>
    </w:p>
    <w:p>
      <w:pPr>
        <w:pStyle w:val="Heading2"/>
        <w:spacing w:before="280" w:after="100"/>
      </w:pPr>
      <w:r>
        <w:rPr>
          <w:rFonts w:ascii="Arial" w:cs="Arial" w:eastAsia="Arial" w:hAnsi="Arial"/>
          <w:b/>
          <w:bCs/>
          <w:color w:val="2E5090"/>
          <w:sz w:val="26"/>
          <w:szCs w:val="26"/>
        </w:rPr>
        <w:t xml:space="preserve">6.2 Distance and Speed Units</w:t>
      </w:r>
    </w:p>
    <w:p>
      <w:pPr>
        <w:spacing w:before="60" w:after="100"/>
      </w:pPr>
      <w:r>
        <w:rPr>
          <w:rFonts w:ascii="Arial" w:cs="Arial" w:eastAsia="Arial" w:hAnsi="Arial"/>
          <w:sz w:val="22"/>
          <w:szCs w:val="22"/>
        </w:rPr>
        <w:t xml:space="preserve">The compliance engine works in metric internally (meters per second, meters distance). Display units must be localized: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Distance</w:t>
            </w:r>
          </w:p>
        </w:tc>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Speed</w:t>
            </w:r>
          </w:p>
        </w:tc>
        <w:tc>
          <w:tcPr>
            <w:tcW w:type="dxa" w:w="3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Elevation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Miles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mph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Feet</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UK</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Miles (roads) / km (events)</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mph</w:t>
            </w:r>
          </w:p>
        </w:tc>
        <w:tc>
          <w:tcPr>
            <w:tcW w:type="dxa" w:w="3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Feet or meters — varies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Australia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Kilometers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km/h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Meters</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Canada</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Kilometers</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km/h</w:t>
            </w:r>
          </w:p>
        </w:tc>
        <w:tc>
          <w:tcPr>
            <w:tcW w:type="dxa" w:w="3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Meters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EU / Rest of World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Kilometers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km/h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Unit conversion utility</w:t>
            </w:r>
          </w:p>
          <w:p>
            <w:pPr>
              <w:spacing w:before="20" w:after="20"/>
            </w:pPr>
            <w:r>
              <w:rPr>
                <w:rFonts w:ascii="Courier New" w:cs="Courier New" w:eastAsia="Courier New" w:hAnsi="Courier New"/>
                <w:color w:val="1F3864"/>
                <w:sz w:val="18"/>
                <w:szCs w:val="18"/>
              </w:rPr>
              <w:t xml:space="preserve">const UNITS = {</w:t>
            </w:r>
          </w:p>
          <w:p>
            <w:pPr>
              <w:spacing w:before="20" w:after="20"/>
            </w:pPr>
            <w:r>
              <w:rPr>
                <w:rFonts w:ascii="Courier New" w:cs="Courier New" w:eastAsia="Courier New" w:hAnsi="Courier New"/>
                <w:color w:val="1F3864"/>
                <w:sz w:val="18"/>
                <w:szCs w:val="18"/>
              </w:rPr>
              <w:t xml:space="preserve">  'en-US': { speed: 'mph', speedFactor: 2.237, distance: 'mi', distFactor: 0.000621 },</w:t>
            </w:r>
          </w:p>
          <w:p>
            <w:pPr>
              <w:spacing w:before="20" w:after="20"/>
            </w:pPr>
            <w:r>
              <w:rPr>
                <w:rFonts w:ascii="Courier New" w:cs="Courier New" w:eastAsia="Courier New" w:hAnsi="Courier New"/>
                <w:color w:val="1F3864"/>
                <w:sz w:val="18"/>
                <w:szCs w:val="18"/>
              </w:rPr>
              <w:t xml:space="preserve">  'en-GB': { speed: 'mph', speedFactor: 2.237, distance: 'mi', distFactor: 0.000621 },</w:t>
            </w:r>
          </w:p>
          <w:p>
            <w:pPr>
              <w:spacing w:before="20" w:after="20"/>
            </w:pPr>
            <w:r>
              <w:rPr>
                <w:rFonts w:ascii="Courier New" w:cs="Courier New" w:eastAsia="Courier New" w:hAnsi="Courier New"/>
                <w:color w:val="1F3864"/>
                <w:sz w:val="18"/>
                <w:szCs w:val="18"/>
              </w:rPr>
              <w:t xml:space="preserve">  'default': { speed: 'km/h', speedFactor: 3.6, distance: 'km', distFactor: 0.001 },</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CRITICAL: The stop threshold in .env is always stored in m/s</w:t>
            </w:r>
          </w:p>
          <w:p>
            <w:pPr>
              <w:spacing w:before="20" w:after="20"/>
            </w:pPr>
            <w:r>
              <w:rPr>
                <w:rFonts w:ascii="Courier New" w:cs="Courier New" w:eastAsia="Courier New" w:hAnsi="Courier New"/>
                <w:color w:val="1F3864"/>
                <w:sz w:val="18"/>
                <w:szCs w:val="18"/>
              </w:rPr>
              <w:t xml:space="preserve">// Convert for display only — never change the stored threshold value</w:t>
            </w:r>
          </w:p>
          <w:p>
            <w:pPr>
              <w:spacing w:before="20" w:after="20"/>
            </w:pPr>
            <w:r>
              <w:rPr>
                <w:rFonts w:ascii="Courier New" w:cs="Courier New" w:eastAsia="Courier New" w:hAnsi="Courier New"/>
                <w:color w:val="1F3864"/>
                <w:sz w:val="18"/>
                <w:szCs w:val="18"/>
              </w:rPr>
              <w:t xml:space="preserve">// 0.5 mph = 0.223 m/s — this internal value never changes regardless of locale</w:t>
            </w:r>
          </w:p>
        </w:tc>
      </w:tr>
    </w:tbl>
    <w:p>
      <w:pPr>
        <w:spacing w:before="120" w:after="0"/>
      </w:pPr>
    </w:p>
    <w:p>
      <w:pPr>
        <w:pStyle w:val="Heading2"/>
        <w:spacing w:before="280" w:after="100"/>
      </w:pPr>
      <w:r>
        <w:rPr>
          <w:rFonts w:ascii="Arial" w:cs="Arial" w:eastAsia="Arial" w:hAnsi="Arial"/>
          <w:b/>
          <w:bCs/>
          <w:color w:val="2E5090"/>
          <w:sz w:val="26"/>
          <w:szCs w:val="26"/>
        </w:rPr>
        <w:t xml:space="preserve">6.3 Date and Time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560"/>
      </w:tblGrid>
      <w:tr>
        <w:trPr>
          <w:tblHeader/>
        </w:trPr>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Date Format</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Time Format</w:t>
            </w:r>
          </w:p>
        </w:tc>
        <w:tc>
          <w:tcPr>
            <w:tcW w:type="dxa" w:w="3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MM/DD/YYYY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12-hour (AM/PM)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06/14/2026 9:00 AM</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UK / Australia</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DD/MM/YYYY</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12-hour (AM/PM)</w:t>
            </w:r>
          </w:p>
        </w:tc>
        <w:tc>
          <w:tcPr>
            <w:tcW w:type="dxa" w:w="3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14/06/2026 9:00 am</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EU / Canada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DD/MM/YYYY or YYYY-MM-DD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24-hour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14/06/2026 09:00</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Germany</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DD.MM.YYYY</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24-hour</w:t>
            </w:r>
          </w:p>
        </w:tc>
        <w:tc>
          <w:tcPr>
            <w:tcW w:type="dxa" w:w="3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14.06.2026 09:00</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Japan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YYYY/MM/DD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24-hour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2026/06/14 09:00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Use Intl.DateTimeFormat for all date display — never hardcode format</w:t>
            </w:r>
          </w:p>
          <w:p>
            <w:pPr>
              <w:spacing w:before="20" w:after="20"/>
            </w:pPr>
            <w:r>
              <w:rPr>
                <w:rFonts w:ascii="Courier New" w:cs="Courier New" w:eastAsia="Courier New" w:hAnsi="Courier New"/>
                <w:color w:val="1F3864"/>
                <w:sz w:val="18"/>
                <w:szCs w:val="18"/>
              </w:rPr>
              <w:t xml:space="preserve">const formatDate = (date, locale) =&gt; {</w:t>
            </w:r>
          </w:p>
          <w:p>
            <w:pPr>
              <w:spacing w:before="20" w:after="20"/>
            </w:pPr>
            <w:r>
              <w:rPr>
                <w:rFonts w:ascii="Courier New" w:cs="Courier New" w:eastAsia="Courier New" w:hAnsi="Courier New"/>
                <w:color w:val="1F3864"/>
                <w:sz w:val="18"/>
                <w:szCs w:val="18"/>
              </w:rPr>
              <w:t xml:space="preserve">  return new Intl.DateTimeFormat(locale, {</w:t>
            </w:r>
          </w:p>
          <w:p>
            <w:pPr>
              <w:spacing w:before="20" w:after="20"/>
            </w:pPr>
            <w:r>
              <w:rPr>
                <w:rFonts w:ascii="Courier New" w:cs="Courier New" w:eastAsia="Courier New" w:hAnsi="Courier New"/>
                <w:color w:val="1F3864"/>
                <w:sz w:val="18"/>
                <w:szCs w:val="18"/>
              </w:rPr>
              <w:t xml:space="preserve">    year: 'numeric', month: '2-digit', day: '2-digit'</w:t>
            </w:r>
          </w:p>
          <w:p>
            <w:pPr>
              <w:spacing w:before="20" w:after="20"/>
            </w:pPr>
            <w:r>
              <w:rPr>
                <w:rFonts w:ascii="Courier New" w:cs="Courier New" w:eastAsia="Courier New" w:hAnsi="Courier New"/>
                <w:color w:val="1F3864"/>
                <w:sz w:val="18"/>
                <w:szCs w:val="18"/>
              </w:rPr>
              <w:t xml:space="preserve">  }).format(new Date(date));</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const formatTime = (date, locale) =&gt; {</w:t>
            </w:r>
          </w:p>
          <w:p>
            <w:pPr>
              <w:spacing w:before="20" w:after="20"/>
            </w:pPr>
            <w:r>
              <w:rPr>
                <w:rFonts w:ascii="Courier New" w:cs="Courier New" w:eastAsia="Courier New" w:hAnsi="Courier New"/>
                <w:color w:val="1F3864"/>
                <w:sz w:val="18"/>
                <w:szCs w:val="18"/>
              </w:rPr>
              <w:t xml:space="preserve">  return new Intl.DateTimeFormat(locale, {</w:t>
            </w:r>
          </w:p>
          <w:p>
            <w:pPr>
              <w:spacing w:before="20" w:after="20"/>
            </w:pPr>
            <w:r>
              <w:rPr>
                <w:rFonts w:ascii="Courier New" w:cs="Courier New" w:eastAsia="Courier New" w:hAnsi="Courier New"/>
                <w:color w:val="1F3864"/>
                <w:sz w:val="18"/>
                <w:szCs w:val="18"/>
              </w:rPr>
              <w:t xml:space="preserve">    hour: '2-digit', minute: '2-digit',</w:t>
            </w:r>
          </w:p>
          <w:p>
            <w:pPr>
              <w:spacing w:before="20" w:after="20"/>
            </w:pPr>
            <w:r>
              <w:rPr>
                <w:rFonts w:ascii="Courier New" w:cs="Courier New" w:eastAsia="Courier New" w:hAnsi="Courier New"/>
                <w:color w:val="1F3864"/>
                <w:sz w:val="18"/>
                <w:szCs w:val="18"/>
              </w:rPr>
              <w:t xml:space="preserve">    hour12: ['en-US', 'en-GB', 'en-AU'].includes(locale)</w:t>
            </w:r>
          </w:p>
          <w:p>
            <w:pPr>
              <w:spacing w:before="20" w:after="20"/>
            </w:pPr>
            <w:r>
              <w:rPr>
                <w:rFonts w:ascii="Courier New" w:cs="Courier New" w:eastAsia="Courier New" w:hAnsi="Courier New"/>
                <w:color w:val="1F3864"/>
                <w:sz w:val="18"/>
                <w:szCs w:val="18"/>
              </w:rPr>
              <w:t xml:space="preserve">  }).format(new Date(date));</w:t>
            </w:r>
          </w:p>
          <w:p>
            <w:pPr>
              <w:spacing w:before="20" w:after="20"/>
            </w:pPr>
            <w:r>
              <w:rPr>
                <w:rFonts w:ascii="Courier New" w:cs="Courier New" w:eastAsia="Courier New" w:hAnsi="Courier New"/>
                <w:color w:val="1F3864"/>
                <w:sz w:val="18"/>
                <w:szCs w:val="18"/>
              </w:rPr>
              <w:t xml:space="preserve">};</w:t>
            </w:r>
          </w:p>
        </w:tc>
      </w:tr>
    </w:tbl>
    <w:p>
      <w:pPr>
        <w:spacing w:before="120" w:after="0"/>
      </w:pPr>
    </w:p>
    <w:p>
      <w:pPr>
        <w:pStyle w:val="Heading2"/>
        <w:spacing w:before="280" w:after="100"/>
      </w:pPr>
      <w:r>
        <w:rPr>
          <w:rFonts w:ascii="Arial" w:cs="Arial" w:eastAsia="Arial" w:hAnsi="Arial"/>
          <w:b/>
          <w:bCs/>
          <w:color w:val="2E5090"/>
          <w:sz w:val="26"/>
          <w:szCs w:val="26"/>
        </w:rPr>
        <w:t xml:space="preserve">6.4 Wheel Speed Sensor Requirement — International Adaptation</w:t>
      </w:r>
    </w:p>
    <w:p>
      <w:pPr>
        <w:spacing w:before="60" w:after="100"/>
      </w:pPr>
      <w:r>
        <w:rPr>
          <w:rFonts w:ascii="Arial" w:cs="Arial" w:eastAsia="Arial" w:hAnsi="Arial"/>
          <w:sz w:val="22"/>
          <w:szCs w:val="22"/>
        </w:rPr>
        <w:t xml:space="preserve">The wheel speed sensor is mandatory in the US implementation. In some international markets — particularly club-level European cycling — wheel speed sensors are less common because power meters dominate and GPS-derived speed is more accepted by race officials.</w:t>
      </w:r>
    </w:p>
    <w:p>
      <w:pPr>
        <w:spacing w:before="60" w:after="100"/>
      </w:pPr>
      <w:r>
        <w:rPr>
          <w:rFonts w:ascii="Arial" w:cs="Arial" w:eastAsia="Arial" w:hAnsi="Arial"/>
          <w:sz w:val="22"/>
          <w:szCs w:val="22"/>
        </w:rPr>
        <w:t xml:space="preserve">Two options for international events:</w:t>
      </w:r>
    </w:p>
    <w:p>
      <w:pPr>
        <w:pStyle w:val="ListParagraph"/>
        <w:numPr>
          <w:ilvl w:val="0"/>
          <w:numId w:val="2"/>
        </w:numPr>
        <w:spacing w:before="40" w:after="40"/>
      </w:pPr>
      <w:r>
        <w:rPr>
          <w:rFonts w:ascii="Arial" w:cs="Arial" w:eastAsia="Arial" w:hAnsi="Arial"/>
          <w:sz w:val="22"/>
          <w:szCs w:val="22"/>
        </w:rPr>
        <w:t xml:space="preserve">Standard mode: Wheel speed sensor required. Same as US. Recommended for competitive events where compliance is enforced for results.</w:t>
      </w:r>
    </w:p>
    <w:p>
      <w:pPr>
        <w:pStyle w:val="ListParagraph"/>
        <w:numPr>
          <w:ilvl w:val="0"/>
          <w:numId w:val="2"/>
        </w:numPr>
        <w:spacing w:before="40" w:after="40"/>
      </w:pPr>
      <w:r>
        <w:rPr>
          <w:rFonts w:ascii="Arial" w:cs="Arial" w:eastAsia="Arial" w:hAnsi="Arial"/>
          <w:sz w:val="22"/>
          <w:szCs w:val="22"/>
        </w:rPr>
        <w:t xml:space="preserve">GPS mode: No wheel speed sensor required. Uses GPS-derived speed with a wider threshold (1.0 mph / 1.6 km/h) and longer required stop duration (4 seconds). Compliance report notes 'GPS speed only — lower confidence'. Recommended for community rides and events where compliance is informational rather than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Add to events table:</w:t>
            </w:r>
          </w:p>
          <w:p>
            <w:pPr>
              <w:spacing w:before="20" w:after="20"/>
            </w:pPr>
            <w:r>
              <w:rPr>
                <w:rFonts w:ascii="Courier New" w:cs="Courier New" w:eastAsia="Courier New" w:hAnsi="Courier New"/>
                <w:color w:val="1F3864"/>
                <w:sz w:val="18"/>
                <w:szCs w:val="18"/>
              </w:rPr>
              <w:t xml:space="preserve">ALTER TABLE events ADD COLUMN speed_sensor_required BOOLEAN DEFAULT true;</w:t>
            </w:r>
          </w:p>
          <w:p>
            <w:pPr>
              <w:spacing w:before="20" w:after="20"/>
            </w:pPr>
            <w:r>
              <w:rPr>
                <w:rFonts w:ascii="Courier New" w:cs="Courier New" w:eastAsia="Courier New" w:hAnsi="Courier New"/>
                <w:color w:val="1F3864"/>
                <w:sz w:val="18"/>
                <w:szCs w:val="18"/>
              </w:rPr>
              <w:t xml:space="preserve">ALTER TABLE events ADD COLUMN gps_mode_enabled BOOLEAN DEFAULT false;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When gps_mode_enabled = true:</w:t>
            </w:r>
          </w:p>
          <w:p>
            <w:pPr>
              <w:spacing w:before="20" w:after="20"/>
            </w:pPr>
            <w:r>
              <w:rPr>
                <w:rFonts w:ascii="Courier New" w:cs="Courier New" w:eastAsia="Courier New" w:hAnsi="Courier New"/>
                <w:color w:val="1F3864"/>
                <w:sz w:val="18"/>
                <w:szCs w:val="18"/>
              </w:rPr>
              <w:t xml:space="preserve">-- SPEED_THRESHOLD changes from 0.5 mph to 1.0 mph</w:t>
            </w:r>
          </w:p>
          <w:p>
            <w:pPr>
              <w:spacing w:before="20" w:after="20"/>
            </w:pPr>
            <w:r>
              <w:rPr>
                <w:rFonts w:ascii="Courier New" w:cs="Courier New" w:eastAsia="Courier New" w:hAnsi="Courier New"/>
                <w:color w:val="1F3864"/>
                <w:sz w:val="18"/>
                <w:szCs w:val="18"/>
              </w:rPr>
              <w:t xml:space="preserve">-- STOP_DURATION_THRESHOLD changes from 3.0 sec to 4.0 sec</w:t>
            </w:r>
          </w:p>
          <w:p>
            <w:pPr>
              <w:spacing w:before="20" w:after="20"/>
            </w:pPr>
            <w:r>
              <w:rPr>
                <w:rFonts w:ascii="Courier New" w:cs="Courier New" w:eastAsia="Courier New" w:hAnsi="Courier New"/>
                <w:color w:val="1F3864"/>
                <w:sz w:val="18"/>
                <w:szCs w:val="18"/>
              </w:rPr>
              <w:t xml:space="preserve">-- Compliance results show 'GPS mode' badge</w:t>
            </w:r>
          </w:p>
          <w:p>
            <w:pPr>
              <w:spacing w:before="20" w:after="20"/>
            </w:pPr>
            <w:r>
              <w:rPr>
                <w:rFonts w:ascii="Courier New" w:cs="Courier New" w:eastAsia="Courier New" w:hAnsi="Courier New"/>
                <w:color w:val="1F3864"/>
                <w:sz w:val="18"/>
                <w:szCs w:val="18"/>
              </w:rPr>
              <w:t xml:space="preserve">-- DQ recommendations are suppressed — results are advisory only</w:t>
            </w:r>
          </w:p>
          <w:p>
            <w:pPr>
              <w:spacing w:before="20" w:after="20"/>
            </w:pPr>
            <w:r>
              <w:rPr>
                <w:rFonts w:ascii="Courier New" w:cs="Courier New" w:eastAsia="Courier New" w:hAnsi="Courier New"/>
                <w:color w:val="1F3864"/>
                <w:sz w:val="18"/>
                <w:szCs w:val="18"/>
              </w:rPr>
              <w:t xml:space="preserve">-- PDF export header notes: 'GPS Mode — Results Informational Only'</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7. Infrastructure for International Deployment</w:t>
      </w:r>
    </w:p>
    <w:p>
      <w:pPr>
        <w:pStyle w:val="Heading2"/>
        <w:spacing w:before="280" w:after="100"/>
      </w:pPr>
      <w:r>
        <w:rPr>
          <w:rFonts w:ascii="Arial" w:cs="Arial" w:eastAsia="Arial" w:hAnsi="Arial"/>
          <w:b/>
          <w:bCs/>
          <w:color w:val="2E5090"/>
          <w:sz w:val="26"/>
          <w:szCs w:val="26"/>
        </w:rPr>
        <w:t xml:space="preserve">7.1 Data Residency</w:t>
      </w:r>
    </w:p>
    <w:p>
      <w:pPr>
        <w:spacing w:before="60" w:after="100"/>
      </w:pPr>
      <w:r>
        <w:rPr>
          <w:rFonts w:ascii="Arial" w:cs="Arial" w:eastAsia="Arial" w:hAnsi="Arial"/>
          <w:sz w:val="22"/>
          <w:szCs w:val="22"/>
        </w:rPr>
        <w:t xml:space="preserve">GDPR does not require data to be stored in the EU, but it does restrict transfers of personal data to countries without adequate protection. The following countries are deemed adequate by the EU Commission and require no additional safeguards: UK (adequacy decision), Canada (partial), Australia (no adequacy — requires Standard Contractual Clauses), Japan (adequacy decision), New Zealand (adequacy decision), USA (requires Data Privacy Framework enrollment).</w:t>
      </w:r>
    </w:p>
    <w:p>
      <w:pPr>
        <w:spacing w:before="200" w:after="80"/>
      </w:pPr>
      <w:r>
        <w:rPr>
          <w:rFonts w:ascii="Arial" w:cs="Arial" w:eastAsia="Arial" w:hAnsi="Arial"/>
          <w:b/>
          <w:bCs/>
          <w:color w:val="1F3864"/>
          <w:sz w:val="22"/>
          <w:szCs w:val="22"/>
        </w:rPr>
        <w:t xml:space="preserve">7.1.1 US-EU Data Privacy Framework</w:t>
      </w:r>
    </w:p>
    <w:p>
      <w:pPr>
        <w:spacing w:before="60" w:after="100"/>
      </w:pPr>
      <w:r>
        <w:rPr>
          <w:rFonts w:ascii="Arial" w:cs="Arial" w:eastAsia="Arial" w:hAnsi="Arial"/>
          <w:sz w:val="22"/>
          <w:szCs w:val="22"/>
        </w:rPr>
        <w:t xml:space="preserve">Enroll in the EU-US Data Privacy Framework (DPF) at dataprivacyframework.gov before processing EU personal data. This is the mechanism that allows lawful data transfers from the EU to the US without Standard Contractual Clauses. Enrollment is free and annual. This is a business process requirement, not a technical one.</w:t>
      </w:r>
    </w:p>
    <w:p>
      <w:pPr>
        <w:spacing w:before="80" w:after="0"/>
      </w:pPr>
    </w:p>
    <w:p>
      <w:pPr>
        <w:spacing w:before="200" w:after="80"/>
      </w:pPr>
      <w:r>
        <w:rPr>
          <w:rFonts w:ascii="Arial" w:cs="Arial" w:eastAsia="Arial" w:hAnsi="Arial"/>
          <w:b/>
          <w:bCs/>
          <w:color w:val="1F3864"/>
          <w:sz w:val="22"/>
          <w:szCs w:val="22"/>
        </w:rPr>
        <w:t xml:space="preserve">7.1.2 Optional: EU Data Residency</w:t>
      </w:r>
    </w:p>
    <w:p>
      <w:pPr>
        <w:spacing w:before="60" w:after="100"/>
      </w:pPr>
      <w:r>
        <w:rPr>
          <w:rFonts w:ascii="Arial" w:cs="Arial" w:eastAsia="Arial" w:hAnsi="Arial"/>
          <w:sz w:val="22"/>
          <w:szCs w:val="22"/>
        </w:rPr>
        <w:t xml:space="preserve">If EU customers require data residency (some enterprise/government-adjacent event organizers may), Supabase supports EU-region databases. Add this as a paid add-on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EU residency option: separate Supabase project in eu-central-1</w:t>
            </w:r>
          </w:p>
          <w:p>
            <w:pPr>
              <w:spacing w:before="20" w:after="20"/>
            </w:pPr>
            <w:r>
              <w:rPr>
                <w:rFonts w:ascii="Courier New" w:cs="Courier New" w:eastAsia="Courier New" w:hAnsi="Courier New"/>
                <w:color w:val="1F3864"/>
                <w:sz w:val="18"/>
                <w:szCs w:val="18"/>
              </w:rPr>
              <w:t xml:space="preserve">-- Organizations can opt into EU data residency at signup</w:t>
            </w:r>
          </w:p>
          <w:p>
            <w:pPr>
              <w:spacing w:before="20" w:after="20"/>
            </w:pPr>
            <w:r>
              <w:rPr>
                <w:rFonts w:ascii="Courier New" w:cs="Courier New" w:eastAsia="Courier New" w:hAnsi="Courier New"/>
                <w:color w:val="1F3864"/>
                <w:sz w:val="18"/>
                <w:szCs w:val="18"/>
              </w:rPr>
              <w:t xml:space="preserve">-- Data is never replicated from EU project to US project</w:t>
            </w:r>
          </w:p>
          <w:p>
            <w:pPr>
              <w:spacing w:before="20" w:after="20"/>
            </w:pPr>
            <w:r>
              <w:rPr>
                <w:rFonts w:ascii="Courier New" w:cs="Courier New" w:eastAsia="Courier New" w:hAnsi="Courier New"/>
                <w:color w:val="1F3864"/>
                <w:sz w:val="18"/>
                <w:szCs w:val="18"/>
              </w:rPr>
              <w:t xml:space="preserve">-- Separate DATABASE_URL_EU environment variable</w:t>
            </w:r>
          </w:p>
          <w:p>
            <w:pPr>
              <w:spacing w:before="20" w:after="20"/>
            </w:pPr>
            <w:r>
              <w:rPr>
                <w:rFonts w:ascii="Courier New" w:cs="Courier New" w:eastAsia="Courier New" w:hAnsi="Courier New"/>
                <w:color w:val="1F3864"/>
                <w:sz w:val="18"/>
                <w:szCs w:val="18"/>
              </w:rPr>
              <w:t xml:space="preserve">-- Router middleware checks org.data_region before selecting DB connection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ALTER TABLE organizations ADD COLUMN data_region TEXT DEFAULT 'us-east-1';</w:t>
            </w:r>
          </w:p>
          <w:p>
            <w:pPr>
              <w:spacing w:before="20" w:after="20"/>
            </w:pPr>
            <w:r>
              <w:rPr>
                <w:rFonts w:ascii="Courier New" w:cs="Courier New" w:eastAsia="Courier New" w:hAnsi="Courier New"/>
                <w:color w:val="1F3864"/>
                <w:sz w:val="18"/>
                <w:szCs w:val="18"/>
              </w:rPr>
              <w:t xml:space="preserve">-- Values: 'us-east-1' | 'eu-central-1'</w:t>
            </w:r>
          </w:p>
        </w:tc>
      </w:tr>
    </w:tbl>
    <w:p>
      <w:pPr>
        <w:spacing w:before="120" w:after="0"/>
      </w:pPr>
    </w:p>
    <w:p>
      <w:pPr>
        <w:pStyle w:val="Heading2"/>
        <w:spacing w:before="280" w:after="100"/>
      </w:pPr>
      <w:r>
        <w:rPr>
          <w:rFonts w:ascii="Arial" w:cs="Arial" w:eastAsia="Arial" w:hAnsi="Arial"/>
          <w:b/>
          <w:bCs/>
          <w:color w:val="2E5090"/>
          <w:sz w:val="26"/>
          <w:szCs w:val="26"/>
        </w:rPr>
        <w:t xml:space="preserve">7.2 CDN and Performance</w:t>
      </w:r>
    </w:p>
    <w:p>
      <w:pPr>
        <w:spacing w:before="60" w:after="100"/>
      </w:pPr>
      <w:r>
        <w:rPr>
          <w:rFonts w:ascii="Arial" w:cs="Arial" w:eastAsia="Arial" w:hAnsi="Arial"/>
          <w:sz w:val="22"/>
          <w:szCs w:val="22"/>
        </w:rPr>
        <w:t xml:space="preserve">Vercel's CDN is global and already serves content from edge locations worldwide. No infrastructure changes required for international frontend performance. The API server on Railway may need a European region deployment for latency-sensitive organizer operations. Supabase also supports EU region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160"/>
        <w:gridCol w:w="240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Current Region</w:t>
            </w:r>
          </w:p>
        </w:tc>
        <w:tc>
          <w:tcPr>
            <w:tcW w:type="dxa" w:w="3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International Option</w:t>
            </w:r>
          </w:p>
        </w:tc>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When Needed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Frontend (Vercel)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Global CDN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Already global — no change needed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Launch</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API Server (Railway)</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US East</w:t>
            </w:r>
          </w:p>
        </w:tc>
        <w:tc>
          <w:tcPr>
            <w:tcW w:type="dxa" w:w="3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Add EU West deployment when EU launch</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Phase 2 international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 (Supabase)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 East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EU Central project for EU data residency option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2 international</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File Storage (R2)</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US East</w:t>
            </w:r>
          </w:p>
        </w:tc>
        <w:tc>
          <w:tcPr>
            <w:tcW w:type="dxa" w:w="3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Cloudflare R2 is globally distributed by default</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Already global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 (Resend)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Global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Resend uses global infrastructure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Already global</w:t>
            </w:r>
          </w:p>
        </w:tc>
      </w:tr>
    </w:tbl>
    <w:p>
      <w:pPr>
        <w:spacing w:before="120" w:after="0"/>
      </w:pPr>
    </w:p>
    <w:p>
      <w:pPr>
        <w:pStyle w:val="Heading2"/>
        <w:spacing w:before="280" w:after="100"/>
      </w:pPr>
      <w:r>
        <w:rPr>
          <w:rFonts w:ascii="Arial" w:cs="Arial" w:eastAsia="Arial" w:hAnsi="Arial"/>
          <w:b/>
          <w:bCs/>
          <w:color w:val="2E5090"/>
          <w:sz w:val="26"/>
          <w:szCs w:val="26"/>
        </w:rPr>
        <w:t xml:space="preserve">7.3 OSM Overpass API for International Stop Sign Detection</w:t>
      </w:r>
    </w:p>
    <w:p>
      <w:pPr>
        <w:spacing w:before="60" w:after="100"/>
      </w:pPr>
      <w:r>
        <w:rPr>
          <w:rFonts w:ascii="Arial" w:cs="Arial" w:eastAsia="Arial" w:hAnsi="Arial"/>
          <w:sz w:val="22"/>
          <w:szCs w:val="22"/>
        </w:rPr>
        <w:t xml:space="preserve">The OpenStreetMap Overpass API is a global dataset. The existing query works in any country. However, OSM data quality varies significantly by region. Before launching in a new market, run a data quality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Test OSM stop sign coverage in target region</w:t>
            </w:r>
          </w:p>
          <w:p>
            <w:pPr>
              <w:spacing w:before="20" w:after="20"/>
            </w:pPr>
            <w:r>
              <w:rPr>
                <w:rFonts w:ascii="Courier New" w:cs="Courier New" w:eastAsia="Courier New" w:hAnsi="Courier New"/>
                <w:color w:val="1F3864"/>
                <w:sz w:val="18"/>
                <w:szCs w:val="18"/>
              </w:rPr>
              <w:t xml:space="preserve">// Run this query for any new country before launch</w:t>
            </w:r>
          </w:p>
          <w:p>
            <w:pPr>
              <w:spacing w:before="20" w:after="20"/>
            </w:pPr>
            <w:r>
              <w:rPr>
                <w:rFonts w:ascii="Courier New" w:cs="Courier New" w:eastAsia="Courier New" w:hAnsi="Courier New"/>
                <w:color w:val="1F3864"/>
                <w:sz w:val="18"/>
                <w:szCs w:val="18"/>
              </w:rPr>
              <w:t xml:space="preserve">[out:json][timeout:25];</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node[highway=stop]({{bbox}});</w:t>
            </w:r>
          </w:p>
          <w:p>
            <w:pPr>
              <w:spacing w:before="20" w:after="20"/>
            </w:pPr>
            <w:r>
              <w:rPr>
                <w:rFonts w:ascii="Courier New" w:cs="Courier New" w:eastAsia="Courier New" w:hAnsi="Courier New"/>
                <w:color w:val="1F3864"/>
                <w:sz w:val="18"/>
                <w:szCs w:val="18"/>
              </w:rPr>
              <w:t xml:space="preserve">  node[highway=give_way]({{bbox}});</w:t>
            </w:r>
          </w:p>
          <w:p>
            <w:pPr>
              <w:spacing w:before="20" w:after="20"/>
            </w:pPr>
            <w:r>
              <w:rPr>
                <w:rFonts w:ascii="Courier New" w:cs="Courier New" w:eastAsia="Courier New" w:hAnsi="Courier New"/>
                <w:color w:val="1F3864"/>
                <w:sz w:val="18"/>
                <w:szCs w:val="18"/>
              </w:rPr>
              <w:t xml:space="preserve">  node[stop=all]({{bbox}});</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out count;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If count is very low for a known urban area,</w:t>
            </w:r>
          </w:p>
          <w:p>
            <w:pPr>
              <w:spacing w:before="20" w:after="20"/>
            </w:pPr>
            <w:r>
              <w:rPr>
                <w:rFonts w:ascii="Courier New" w:cs="Courier New" w:eastAsia="Courier New" w:hAnsi="Courier New"/>
                <w:color w:val="1F3864"/>
                <w:sz w:val="18"/>
                <w:szCs w:val="18"/>
              </w:rPr>
              <w:t xml:space="preserve">// OSM data is incomplete — warn organizers that</w:t>
            </w:r>
          </w:p>
          <w:p>
            <w:pPr>
              <w:spacing w:before="20" w:after="20"/>
            </w:pPr>
            <w:r>
              <w:rPr>
                <w:rFonts w:ascii="Courier New" w:cs="Courier New" w:eastAsia="Courier New" w:hAnsi="Courier New"/>
                <w:color w:val="1F3864"/>
                <w:sz w:val="18"/>
                <w:szCs w:val="18"/>
              </w:rPr>
              <w:t xml:space="preserve">// auto-detection may not work well in this region</w:t>
            </w:r>
          </w:p>
          <w:p>
            <w:pPr>
              <w:spacing w:before="20" w:after="20"/>
            </w:pPr>
            <w:r>
              <w:rPr>
                <w:rFonts w:ascii="Courier New" w:cs="Courier New" w:eastAsia="Courier New" w:hAnsi="Courier New"/>
                <w:color w:val="1F3864"/>
                <w:sz w:val="18"/>
                <w:szCs w:val="18"/>
              </w:rPr>
              <w:t xml:space="preserve">// and manual stop sign placement is recommended.</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Also query for local equivalents:</w:t>
            </w:r>
          </w:p>
          <w:p>
            <w:pPr>
              <w:spacing w:before="20" w:after="20"/>
            </w:pPr>
            <w:r>
              <w:rPr>
                <w:rFonts w:ascii="Courier New" w:cs="Courier New" w:eastAsia="Courier New" w:hAnsi="Courier New"/>
                <w:color w:val="1F3864"/>
                <w:sz w:val="18"/>
                <w:szCs w:val="18"/>
              </w:rPr>
              <w:t xml:space="preserve">// France: highway=give_way is more common than highway=stop</w:t>
            </w:r>
          </w:p>
          <w:p>
            <w:pPr>
              <w:spacing w:before="20" w:after="20"/>
            </w:pPr>
            <w:r>
              <w:rPr>
                <w:rFonts w:ascii="Courier New" w:cs="Courier New" w:eastAsia="Courier New" w:hAnsi="Courier New"/>
                <w:color w:val="1F3864"/>
                <w:sz w:val="18"/>
                <w:szCs w:val="18"/>
              </w:rPr>
              <w:t xml:space="preserve">// Netherlands: highway=give_way with shark teeth markings</w:t>
            </w:r>
          </w:p>
          <w:p>
            <w:pPr>
              <w:spacing w:before="20" w:after="20"/>
            </w:pPr>
            <w:r>
              <w:rPr>
                <w:rFonts w:ascii="Courier New" w:cs="Courier New" w:eastAsia="Courier New" w:hAnsi="Courier New"/>
                <w:color w:val="1F3864"/>
                <w:sz w:val="18"/>
                <w:szCs w:val="18"/>
              </w:rPr>
              <w:t xml:space="preserve">// Germany: highway=give_way (Vorfahrt gewähren)</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8. International Marketing &amp; Community Strategy</w:t>
      </w:r>
    </w:p>
    <w:p>
      <w:pPr>
        <w:pStyle w:val="Heading2"/>
        <w:spacing w:before="280" w:after="100"/>
      </w:pPr>
      <w:r>
        <w:rPr>
          <w:rFonts w:ascii="Arial" w:cs="Arial" w:eastAsia="Arial" w:hAnsi="Arial"/>
          <w:b/>
          <w:bCs/>
          <w:color w:val="2E5090"/>
          <w:sz w:val="26"/>
          <w:szCs w:val="26"/>
        </w:rPr>
        <w:t xml:space="preserve">8.1 Target Event Partners by Phase</w:t>
      </w:r>
    </w:p>
    <w:p>
      <w:pPr>
        <w:spacing w:before="60" w:after="100"/>
      </w:pPr>
      <w:r>
        <w:rPr>
          <w:rFonts w:ascii="Arial" w:cs="Arial" w:eastAsia="Arial" w:hAnsi="Arial"/>
          <w:sz w:val="22"/>
          <w:szCs w:val="22"/>
        </w:rPr>
        <w:t xml:space="preserve">Rather than broad marketing, StopCheck should target specific anchor events in each market. One marquee event adopting StopCheck in a region creates word-of-mouth across the entire local promoter community. Gravel promoters talk to each other constantly at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Target Anchor Events</w:t>
            </w:r>
          </w:p>
        </w:tc>
        <w:tc>
          <w:tcPr>
            <w:tcW w:type="dxa" w:w="4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Why They Matter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1 (English)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Dirty Reiver (UK), RADL GRVL (Australia), GranFondo Whistler (Canada)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profile, international reputation, influential promoters</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Phase 2 (French/German)</w:t>
            </w:r>
          </w:p>
        </w:tc>
        <w:tc>
          <w:tcPr>
            <w:tcW w:type="dxa" w:w="3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Traka 360 (Spain), Erzgebirge Gravel (Germany), L'Ardechoise Gravel (France)</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Large fields, competitive format where compliance matters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Phase 3 (Spanish)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 UCI Gravel World Series qualifier in Spain or Latin America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UCI association adds credibility</w:t>
            </w:r>
          </w:p>
        </w:tc>
      </w:tr>
      <w:tr>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Phase 4 (Global)</w:t>
            </w:r>
          </w:p>
        </w:tc>
        <w:tc>
          <w:tcPr>
            <w:tcW w:type="dxa" w:w="3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Identify when market research is complete at time of execution</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TBD</w:t>
            </w:r>
          </w:p>
        </w:tc>
      </w:tr>
    </w:tbl>
    <w:p>
      <w:pPr>
        <w:spacing w:before="80" w:after="0"/>
      </w:pPr>
    </w:p>
    <w:p>
      <w:pPr>
        <w:pStyle w:val="Heading2"/>
        <w:spacing w:before="280" w:after="100"/>
      </w:pPr>
      <w:r>
        <w:rPr>
          <w:rFonts w:ascii="Arial" w:cs="Arial" w:eastAsia="Arial" w:hAnsi="Arial"/>
          <w:b/>
          <w:bCs/>
          <w:color w:val="2E5090"/>
          <w:sz w:val="26"/>
          <w:szCs w:val="26"/>
        </w:rPr>
        <w:t xml:space="preserve">8.2 UCI Gravel World Series Opportunity</w:t>
      </w:r>
    </w:p>
    <w:p>
      <w:pPr>
        <w:spacing w:before="60" w:after="100"/>
      </w:pPr>
      <w:r>
        <w:rPr>
          <w:rFonts w:ascii="Arial" w:cs="Arial" w:eastAsia="Arial" w:hAnsi="Arial"/>
          <w:sz w:val="22"/>
          <w:szCs w:val="22"/>
        </w:rPr>
        <w:t xml:space="preserve">The UCI Gravel World Series has 40-50 qualifier events worldwide. A formal partnership with the UCI or with the series organizers could make StopCheck the official compliance verification tool for all UCI gravel qualifiers globally. This would be transformational for international adoption. Pursue this partnership after demonstrating the platform at a major US event. The compliance and defensibility features of StopCheck align directly with what the UCI needs for sanctioned events.</w:t>
      </w:r>
    </w:p>
    <w:p>
      <w:pPr>
        <w:spacing w:before="80" w:after="0"/>
      </w:pPr>
    </w:p>
    <w:p>
      <w:pPr>
        <w:pStyle w:val="Heading2"/>
        <w:spacing w:before="280" w:after="100"/>
      </w:pPr>
      <w:r>
        <w:rPr>
          <w:rFonts w:ascii="Arial" w:cs="Arial" w:eastAsia="Arial" w:hAnsi="Arial"/>
          <w:b/>
          <w:bCs/>
          <w:color w:val="2E5090"/>
          <w:sz w:val="26"/>
          <w:szCs w:val="26"/>
        </w:rPr>
        <w:t xml:space="preserve">8.3 Community Sponsorship Program — International Extension</w:t>
      </w:r>
    </w:p>
    <w:p>
      <w:pPr>
        <w:spacing w:before="60" w:after="100"/>
      </w:pPr>
      <w:r>
        <w:rPr>
          <w:rFonts w:ascii="Arial" w:cs="Arial" w:eastAsia="Arial" w:hAnsi="Arial"/>
          <w:sz w:val="22"/>
          <w:szCs w:val="22"/>
        </w:rPr>
        <w:t xml:space="preserve">The Community Sponsorship Program (50 free sponsored events/year for verified charities) should extend to international markets. International sponsored events increase StopCheck's visibility in new markets at near-zero cost. Extend the cap to 100 events/year when international markets are active, with 50 reserved for US events and 50 for international.</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9. International Build Sequence for Coding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AGENT INSTRUCTION: Build international features in strict phase order. Each phase must be complete and tested before the next begins. Do not implement Phase 2 language features before Phase 1 English-speaking markets are live and revenue-generating.</w:t>
            </w:r>
          </w:p>
        </w:tc>
      </w:tr>
    </w:tbl>
    <w:p>
      <w:pPr>
        <w:spacing w:before="80" w:after="0"/>
      </w:pPr>
    </w:p>
    <w:p>
      <w:pPr>
        <w:pStyle w:val="Heading2"/>
        <w:spacing w:before="280" w:after="100"/>
      </w:pPr>
      <w:r>
        <w:rPr>
          <w:rFonts w:ascii="Arial" w:cs="Arial" w:eastAsia="Arial" w:hAnsi="Arial"/>
          <w:b/>
          <w:bCs/>
          <w:color w:val="2E5090"/>
          <w:sz w:val="26"/>
          <w:szCs w:val="26"/>
        </w:rPr>
        <w:t xml:space="preserve">Phase 1 Build — English Speaking Markets</w:t>
      </w:r>
    </w:p>
    <w:p>
      <w:pPr>
        <w:spacing w:before="60" w:after="100"/>
      </w:pPr>
      <w:r>
        <w:rPr>
          <w:rFonts w:ascii="Arial" w:cs="Arial" w:eastAsia="Arial" w:hAnsi="Arial"/>
          <w:sz w:val="22"/>
          <w:szCs w:val="22"/>
        </w:rPr>
        <w:t xml:space="preserve">Prerequisites: US platform live, Phase 6 hardening complete, 50+ paying US customers.</w:t>
      </w:r>
    </w:p>
    <w:p>
      <w:pPr>
        <w:pStyle w:val="ListParagraph"/>
        <w:numPr>
          <w:ilvl w:val="0"/>
          <w:numId w:val="3"/>
        </w:numPr>
        <w:spacing w:before="40" w:after="40"/>
      </w:pPr>
      <w:r>
        <w:rPr>
          <w:rFonts w:ascii="Arial" w:cs="Arial" w:eastAsia="Arial" w:hAnsi="Arial"/>
          <w:sz w:val="22"/>
          <w:szCs w:val="22"/>
        </w:rPr>
        <w:t xml:space="preserve">Install and configure Stripe Tax — enable automatic tax calculation globally</w:t>
      </w:r>
    </w:p>
    <w:p>
      <w:pPr>
        <w:pStyle w:val="ListParagraph"/>
        <w:numPr>
          <w:ilvl w:val="0"/>
          <w:numId w:val="3"/>
        </w:numPr>
        <w:spacing w:before="40" w:after="40"/>
      </w:pPr>
      <w:r>
        <w:rPr>
          <w:rFonts w:ascii="Arial" w:cs="Arial" w:eastAsia="Arial" w:hAnsi="Arial"/>
          <w:sz w:val="22"/>
          <w:szCs w:val="22"/>
        </w:rPr>
        <w:t xml:space="preserve">Add currency detection middleware — detect user locale from Accept-Language header and IP geolocation, display prices in local currency</w:t>
      </w:r>
    </w:p>
    <w:p>
      <w:pPr>
        <w:pStyle w:val="ListParagraph"/>
        <w:numPr>
          <w:ilvl w:val="0"/>
          <w:numId w:val="3"/>
        </w:numPr>
        <w:spacing w:before="40" w:after="40"/>
      </w:pPr>
      <w:r>
        <w:rPr>
          <w:rFonts w:ascii="Arial" w:cs="Arial" w:eastAsia="Arial" w:hAnsi="Arial"/>
          <w:sz w:val="22"/>
          <w:szCs w:val="22"/>
        </w:rPr>
        <w:t xml:space="preserve">Add distance/speed unit toggle to events table and all display components</w:t>
      </w:r>
    </w:p>
    <w:p>
      <w:pPr>
        <w:pStyle w:val="ListParagraph"/>
        <w:numPr>
          <w:ilvl w:val="0"/>
          <w:numId w:val="3"/>
        </w:numPr>
        <w:spacing w:before="40" w:after="40"/>
      </w:pPr>
      <w:r>
        <w:rPr>
          <w:rFonts w:ascii="Arial" w:cs="Arial" w:eastAsia="Arial" w:hAnsi="Arial"/>
          <w:sz w:val="22"/>
          <w:szCs w:val="22"/>
        </w:rPr>
        <w:t xml:space="preserve">Add date/time format localization using Intl.DateTimeFormat throughout the frontend — replace all hardcoded date formats</w:t>
      </w:r>
    </w:p>
    <w:p>
      <w:pPr>
        <w:pStyle w:val="ListParagraph"/>
        <w:numPr>
          <w:ilvl w:val="0"/>
          <w:numId w:val="3"/>
        </w:numPr>
        <w:spacing w:before="40" w:after="40"/>
      </w:pPr>
      <w:r>
        <w:rPr>
          <w:rFonts w:ascii="Arial" w:cs="Arial" w:eastAsia="Arial" w:hAnsi="Arial"/>
          <w:sz w:val="22"/>
          <w:szCs w:val="22"/>
        </w:rPr>
        <w:t xml:space="preserve">Add compliance_point_label field to events table — update all UI references to use this field</w:t>
      </w:r>
    </w:p>
    <w:p>
      <w:pPr>
        <w:pStyle w:val="ListParagraph"/>
        <w:numPr>
          <w:ilvl w:val="0"/>
          <w:numId w:val="3"/>
        </w:numPr>
        <w:spacing w:before="40" w:after="40"/>
      </w:pPr>
      <w:r>
        <w:rPr>
          <w:rFonts w:ascii="Arial" w:cs="Arial" w:eastAsia="Arial" w:hAnsi="Arial"/>
          <w:sz w:val="22"/>
          <w:szCs w:val="22"/>
        </w:rPr>
        <w:t xml:space="preserve">Add gps_mode_enabled field to events table — implement GPS mode compliance thresholds in engine</w:t>
      </w:r>
    </w:p>
    <w:p>
      <w:pPr>
        <w:pStyle w:val="ListParagraph"/>
        <w:numPr>
          <w:ilvl w:val="0"/>
          <w:numId w:val="3"/>
        </w:numPr>
        <w:spacing w:before="40" w:after="40"/>
      </w:pPr>
      <w:r>
        <w:rPr>
          <w:rFonts w:ascii="Arial" w:cs="Arial" w:eastAsia="Arial" w:hAnsi="Arial"/>
          <w:sz w:val="22"/>
          <w:szCs w:val="22"/>
        </w:rPr>
        <w:t xml:space="preserve">Add speed_sensor_required field — surface warning in compliance reports when GPS mode is active</w:t>
      </w:r>
    </w:p>
    <w:p>
      <w:pPr>
        <w:pStyle w:val="ListParagraph"/>
        <w:numPr>
          <w:ilvl w:val="0"/>
          <w:numId w:val="3"/>
        </w:numPr>
        <w:spacing w:before="40" w:after="40"/>
      </w:pPr>
      <w:r>
        <w:rPr>
          <w:rFonts w:ascii="Arial" w:cs="Arial" w:eastAsia="Arial" w:hAnsi="Arial"/>
          <w:sz w:val="22"/>
          <w:szCs w:val="22"/>
        </w:rPr>
        <w:t xml:space="preserve">Implement react-i18next foundation — extract all strings to en-US locale files without translating yet</w:t>
      </w:r>
    </w:p>
    <w:p>
      <w:pPr>
        <w:pStyle w:val="ListParagraph"/>
        <w:numPr>
          <w:ilvl w:val="0"/>
          <w:numId w:val="3"/>
        </w:numPr>
        <w:spacing w:before="40" w:after="40"/>
      </w:pPr>
      <w:r>
        <w:rPr>
          <w:rFonts w:ascii="Arial" w:cs="Arial" w:eastAsia="Arial" w:hAnsi="Arial"/>
          <w:sz w:val="22"/>
          <w:szCs w:val="22"/>
        </w:rPr>
        <w:t xml:space="preserve">Add en-GB locale file — British English variants (organisation vs organization, colour vs color, etc.)</w:t>
      </w:r>
    </w:p>
    <w:p>
      <w:pPr>
        <w:pStyle w:val="ListParagraph"/>
        <w:numPr>
          <w:ilvl w:val="0"/>
          <w:numId w:val="3"/>
        </w:numPr>
        <w:spacing w:before="40" w:after="40"/>
      </w:pPr>
      <w:r>
        <w:rPr>
          <w:rFonts w:ascii="Arial" w:cs="Arial" w:eastAsia="Arial" w:hAnsi="Arial"/>
          <w:sz w:val="22"/>
          <w:szCs w:val="22"/>
        </w:rPr>
        <w:t xml:space="preserve">UK GDPR compliance — add ICO as supervisory authority reference in privacy policy, update breach notification procedure to reference ICO</w:t>
      </w:r>
    </w:p>
    <w:p>
      <w:pPr>
        <w:pStyle w:val="ListParagraph"/>
        <w:numPr>
          <w:ilvl w:val="0"/>
          <w:numId w:val="3"/>
        </w:numPr>
        <w:spacing w:before="40" w:after="40"/>
      </w:pPr>
      <w:r>
        <w:rPr>
          <w:rFonts w:ascii="Arial" w:cs="Arial" w:eastAsia="Arial" w:hAnsi="Arial"/>
          <w:sz w:val="22"/>
          <w:szCs w:val="22"/>
        </w:rPr>
        <w:t xml:space="preserve">Australia Privacy Act — update breach notification procedure to reference OAIC, add 30-day notification requirement</w:t>
      </w:r>
    </w:p>
    <w:p>
      <w:pPr>
        <w:pStyle w:val="ListParagraph"/>
        <w:numPr>
          <w:ilvl w:val="0"/>
          <w:numId w:val="3"/>
        </w:numPr>
        <w:spacing w:before="40" w:after="40"/>
      </w:pPr>
      <w:r>
        <w:rPr>
          <w:rFonts w:ascii="Arial" w:cs="Arial" w:eastAsia="Arial" w:hAnsi="Arial"/>
          <w:sz w:val="22"/>
          <w:szCs w:val="22"/>
        </w:rPr>
        <w:t xml:space="preserve">Register with EU-US Data Privacy Framework at dataprivacyframework.gov</w:t>
      </w:r>
    </w:p>
    <w:p>
      <w:pPr>
        <w:pStyle w:val="ListParagraph"/>
        <w:numPr>
          <w:ilvl w:val="0"/>
          <w:numId w:val="3"/>
        </w:numPr>
        <w:spacing w:before="40" w:after="40"/>
      </w:pPr>
      <w:r>
        <w:rPr>
          <w:rFonts w:ascii="Arial" w:cs="Arial" w:eastAsia="Arial" w:hAnsi="Arial"/>
          <w:sz w:val="22"/>
          <w:szCs w:val="22"/>
        </w:rPr>
        <w:t xml:space="preserve">Sign DPAs with all processors (Supabase, Railway, Resend, Stripe, Cloudflare, Sentry)</w:t>
      </w:r>
    </w:p>
    <w:p>
      <w:pPr>
        <w:pStyle w:val="ListParagraph"/>
        <w:numPr>
          <w:ilvl w:val="0"/>
          <w:numId w:val="3"/>
        </w:numPr>
        <w:spacing w:before="40" w:after="40"/>
      </w:pPr>
      <w:r>
        <w:rPr>
          <w:rFonts w:ascii="Arial" w:cs="Arial" w:eastAsia="Arial" w:hAnsi="Arial"/>
          <w:sz w:val="22"/>
          <w:szCs w:val="22"/>
        </w:rPr>
        <w:t xml:space="preserve">Test Phase 1 with a UK event organizer account — verify currency display, date format, distance units</w:t>
      </w:r>
    </w:p>
    <w:p>
      <w:pPr>
        <w:spacing w:before="80" w:after="0"/>
      </w:pPr>
    </w:p>
    <w:p>
      <w:pPr>
        <w:spacing w:before="60" w:after="100"/>
      </w:pPr>
      <w:r>
        <w:rPr>
          <w:rFonts w:ascii="Arial" w:cs="Arial" w:eastAsia="Arial" w:hAnsi="Arial"/>
          <w:sz w:val="22"/>
          <w:szCs w:val="22"/>
        </w:rPr>
        <w:t xml:space="preserve">Phase 1 acceptance criteria: UK organizer can create an event, see prices in GBP, see distances in miles, create compliance checkpoints (not stop signs), and riders see dates in DD/MM/YYYY format.</w:t>
      </w:r>
    </w:p>
    <w:p>
      <w:pPr>
        <w:spacing w:before="100" w:after="0"/>
      </w:pPr>
    </w:p>
    <w:p>
      <w:pPr>
        <w:pStyle w:val="Heading2"/>
        <w:spacing w:before="280" w:after="100"/>
      </w:pPr>
      <w:r>
        <w:rPr>
          <w:rFonts w:ascii="Arial" w:cs="Arial" w:eastAsia="Arial" w:hAnsi="Arial"/>
          <w:b/>
          <w:bCs/>
          <w:color w:val="2E5090"/>
          <w:sz w:val="26"/>
          <w:szCs w:val="26"/>
        </w:rPr>
        <w:t xml:space="preserve">Phase 2 Build — French and German Markets</w:t>
      </w:r>
    </w:p>
    <w:p>
      <w:pPr>
        <w:spacing w:before="60" w:after="100"/>
      </w:pPr>
      <w:r>
        <w:rPr>
          <w:rFonts w:ascii="Arial" w:cs="Arial" w:eastAsia="Arial" w:hAnsi="Arial"/>
          <w:sz w:val="22"/>
          <w:szCs w:val="22"/>
        </w:rPr>
        <w:t xml:space="preserve">Prerequisites: Phase 1 complete, EU representative appointed, GDPR cookie consent implemented.</w:t>
      </w:r>
    </w:p>
    <w:p>
      <w:pPr>
        <w:pStyle w:val="ListParagraph"/>
        <w:numPr>
          <w:ilvl w:val="0"/>
          <w:numId w:val="3"/>
        </w:numPr>
        <w:spacing w:before="40" w:after="40"/>
      </w:pPr>
      <w:r>
        <w:rPr>
          <w:rFonts w:ascii="Arial" w:cs="Arial" w:eastAsia="Arial" w:hAnsi="Arial"/>
          <w:sz w:val="22"/>
          <w:szCs w:val="22"/>
        </w:rPr>
        <w:t xml:space="preserve">Appoint EU representative via DataRep or equivalent — required before processing any EU data</w:t>
      </w:r>
    </w:p>
    <w:p>
      <w:pPr>
        <w:pStyle w:val="ListParagraph"/>
        <w:numPr>
          <w:ilvl w:val="0"/>
          <w:numId w:val="3"/>
        </w:numPr>
        <w:spacing w:before="40" w:after="40"/>
      </w:pPr>
      <w:r>
        <w:rPr>
          <w:rFonts w:ascii="Arial" w:cs="Arial" w:eastAsia="Arial" w:hAnsi="Arial"/>
          <w:sz w:val="22"/>
          <w:szCs w:val="22"/>
        </w:rPr>
        <w:t xml:space="preserve">Implement cookie consent banner using Cookiebot or Osano — required for EU</w:t>
      </w:r>
    </w:p>
    <w:p>
      <w:pPr>
        <w:pStyle w:val="ListParagraph"/>
        <w:numPr>
          <w:ilvl w:val="0"/>
          <w:numId w:val="3"/>
        </w:numPr>
        <w:spacing w:before="40" w:after="40"/>
      </w:pPr>
      <w:r>
        <w:rPr>
          <w:rFonts w:ascii="Arial" w:cs="Arial" w:eastAsia="Arial" w:hAnsi="Arial"/>
          <w:sz w:val="22"/>
          <w:szCs w:val="22"/>
        </w:rPr>
        <w:t xml:space="preserve">Create Standard Contractual Clauses with Australian processors if required</w:t>
      </w:r>
    </w:p>
    <w:p>
      <w:pPr>
        <w:pStyle w:val="ListParagraph"/>
        <w:numPr>
          <w:ilvl w:val="0"/>
          <w:numId w:val="3"/>
        </w:numPr>
        <w:spacing w:before="40" w:after="40"/>
      </w:pPr>
      <w:r>
        <w:rPr>
          <w:rFonts w:ascii="Arial" w:cs="Arial" w:eastAsia="Arial" w:hAnsi="Arial"/>
          <w:sz w:val="22"/>
          <w:szCs w:val="22"/>
        </w:rPr>
        <w:t xml:space="preserve">Commission professional French translation of all P1-priority strings — do not use machine translation</w:t>
      </w:r>
    </w:p>
    <w:p>
      <w:pPr>
        <w:pStyle w:val="ListParagraph"/>
        <w:numPr>
          <w:ilvl w:val="0"/>
          <w:numId w:val="3"/>
        </w:numPr>
        <w:spacing w:before="40" w:after="40"/>
      </w:pPr>
      <w:r>
        <w:rPr>
          <w:rFonts w:ascii="Arial" w:cs="Arial" w:eastAsia="Arial" w:hAnsi="Arial"/>
          <w:sz w:val="22"/>
          <w:szCs w:val="22"/>
        </w:rPr>
        <w:t xml:space="preserve">Commission professional German translation of all P1-priority strings</w:t>
      </w:r>
    </w:p>
    <w:p>
      <w:pPr>
        <w:pStyle w:val="ListParagraph"/>
        <w:numPr>
          <w:ilvl w:val="0"/>
          <w:numId w:val="3"/>
        </w:numPr>
        <w:spacing w:before="40" w:after="40"/>
      </w:pPr>
      <w:r>
        <w:rPr>
          <w:rFonts w:ascii="Arial" w:cs="Arial" w:eastAsia="Arial" w:hAnsi="Arial"/>
          <w:sz w:val="22"/>
          <w:szCs w:val="22"/>
        </w:rPr>
        <w:t xml:space="preserve">Commission legal translation of privacy policy and terms in French and German</w:t>
      </w:r>
    </w:p>
    <w:p>
      <w:pPr>
        <w:pStyle w:val="ListParagraph"/>
        <w:numPr>
          <w:ilvl w:val="0"/>
          <w:numId w:val="3"/>
        </w:numPr>
        <w:spacing w:before="40" w:after="40"/>
      </w:pPr>
      <w:r>
        <w:rPr>
          <w:rFonts w:ascii="Arial" w:cs="Arial" w:eastAsia="Arial" w:hAnsi="Arial"/>
          <w:sz w:val="22"/>
          <w:szCs w:val="22"/>
        </w:rPr>
        <w:t xml:space="preserve">Implement fr and de locale files — all 800 strings</w:t>
      </w:r>
    </w:p>
    <w:p>
      <w:pPr>
        <w:pStyle w:val="ListParagraph"/>
        <w:numPr>
          <w:ilvl w:val="0"/>
          <w:numId w:val="3"/>
        </w:numPr>
        <w:spacing w:before="40" w:after="40"/>
      </w:pPr>
      <w:r>
        <w:rPr>
          <w:rFonts w:ascii="Arial" w:cs="Arial" w:eastAsia="Arial" w:hAnsi="Arial"/>
          <w:sz w:val="22"/>
          <w:szCs w:val="22"/>
        </w:rPr>
        <w:t xml:space="preserve">Add EU SEPA Direct Debit payment method via Stripe</w:t>
      </w:r>
    </w:p>
    <w:p>
      <w:pPr>
        <w:pStyle w:val="ListParagraph"/>
        <w:numPr>
          <w:ilvl w:val="0"/>
          <w:numId w:val="3"/>
        </w:numPr>
        <w:spacing w:before="40" w:after="40"/>
      </w:pPr>
      <w:r>
        <w:rPr>
          <w:rFonts w:ascii="Arial" w:cs="Arial" w:eastAsia="Arial" w:hAnsi="Arial"/>
          <w:sz w:val="22"/>
          <w:szCs w:val="22"/>
        </w:rPr>
        <w:t xml:space="preserve">Add iDEAL for Netherlands</w:t>
      </w:r>
    </w:p>
    <w:p>
      <w:pPr>
        <w:pStyle w:val="ListParagraph"/>
        <w:numPr>
          <w:ilvl w:val="0"/>
          <w:numId w:val="3"/>
        </w:numPr>
        <w:spacing w:before="40" w:after="40"/>
      </w:pPr>
      <w:r>
        <w:rPr>
          <w:rFonts w:ascii="Arial" w:cs="Arial" w:eastAsia="Arial" w:hAnsi="Arial"/>
          <w:sz w:val="22"/>
          <w:szCs w:val="22"/>
        </w:rPr>
        <w:t xml:space="preserve">Add EU Central Supabase project option for data residency</w:t>
      </w:r>
    </w:p>
    <w:p>
      <w:pPr>
        <w:pStyle w:val="ListParagraph"/>
        <w:numPr>
          <w:ilvl w:val="0"/>
          <w:numId w:val="3"/>
        </w:numPr>
        <w:spacing w:before="40" w:after="40"/>
      </w:pPr>
      <w:r>
        <w:rPr>
          <w:rFonts w:ascii="Arial" w:cs="Arial" w:eastAsia="Arial" w:hAnsi="Arial"/>
          <w:sz w:val="22"/>
          <w:szCs w:val="22"/>
        </w:rPr>
        <w:t xml:space="preserve">Add EU West Railway deployment for reduced API latency</w:t>
      </w:r>
    </w:p>
    <w:p>
      <w:pPr>
        <w:pStyle w:val="ListParagraph"/>
        <w:numPr>
          <w:ilvl w:val="0"/>
          <w:numId w:val="3"/>
        </w:numPr>
        <w:spacing w:before="40" w:after="40"/>
      </w:pPr>
      <w:r>
        <w:rPr>
          <w:rFonts w:ascii="Arial" w:cs="Arial" w:eastAsia="Arial" w:hAnsi="Arial"/>
          <w:sz w:val="22"/>
          <w:szCs w:val="22"/>
        </w:rPr>
        <w:t xml:space="preserve">Test with French and German event organizer accounts — verify all strings, date formats, currency, tax</w:t>
      </w:r>
    </w:p>
    <w:p>
      <w:pPr>
        <w:spacing w:before="80" w:after="0"/>
      </w:pPr>
    </w:p>
    <w:p>
      <w:pPr>
        <w:spacing w:before="60" w:after="100"/>
      </w:pPr>
      <w:r>
        <w:rPr>
          <w:rFonts w:ascii="Arial" w:cs="Arial" w:eastAsia="Arial" w:hAnsi="Arial"/>
          <w:sz w:val="22"/>
          <w:szCs w:val="22"/>
        </w:rPr>
        <w:t xml:space="preserve">Phase 2 acceptance criteria: French organizer creates event entirely in French, prices show in EUR with 20% French VAT, dates show in DD/MM/YYYY, compliance reports render in French, DQ emails send in French.</w:t>
      </w:r>
    </w:p>
    <w:p>
      <w:pPr>
        <w:spacing w:before="100" w:after="0"/>
      </w:pPr>
    </w:p>
    <w:p>
      <w:pPr>
        <w:pStyle w:val="Heading2"/>
        <w:spacing w:before="280" w:after="100"/>
      </w:pPr>
      <w:r>
        <w:rPr>
          <w:rFonts w:ascii="Arial" w:cs="Arial" w:eastAsia="Arial" w:hAnsi="Arial"/>
          <w:b/>
          <w:bCs/>
          <w:color w:val="2E5090"/>
          <w:sz w:val="26"/>
          <w:szCs w:val="26"/>
        </w:rPr>
        <w:t xml:space="preserve">Phase 3 Build — Spanish Market</w:t>
      </w:r>
    </w:p>
    <w:p>
      <w:pPr>
        <w:spacing w:before="60" w:after="100"/>
      </w:pPr>
      <w:r>
        <w:rPr>
          <w:rFonts w:ascii="Arial" w:cs="Arial" w:eastAsia="Arial" w:hAnsi="Arial"/>
          <w:sz w:val="22"/>
          <w:szCs w:val="22"/>
        </w:rPr>
        <w:t xml:space="preserve">Prerequisites: Phase 2 complete, Spanish translator engaged.</w:t>
      </w:r>
    </w:p>
    <w:p>
      <w:pPr>
        <w:pStyle w:val="ListParagraph"/>
        <w:numPr>
          <w:ilvl w:val="0"/>
          <w:numId w:val="3"/>
        </w:numPr>
        <w:spacing w:before="40" w:after="40"/>
      </w:pPr>
      <w:r>
        <w:rPr>
          <w:rFonts w:ascii="Arial" w:cs="Arial" w:eastAsia="Arial" w:hAnsi="Arial"/>
          <w:sz w:val="22"/>
          <w:szCs w:val="22"/>
        </w:rPr>
        <w:t xml:space="preserve">Commission professional Spanish translation — create both es-ES and es-419 (Latin American) variants for key strings that differ</w:t>
      </w:r>
    </w:p>
    <w:p>
      <w:pPr>
        <w:pStyle w:val="ListParagraph"/>
        <w:numPr>
          <w:ilvl w:val="0"/>
          <w:numId w:val="3"/>
        </w:numPr>
        <w:spacing w:before="40" w:after="40"/>
      </w:pPr>
      <w:r>
        <w:rPr>
          <w:rFonts w:ascii="Arial" w:cs="Arial" w:eastAsia="Arial" w:hAnsi="Arial"/>
          <w:sz w:val="22"/>
          <w:szCs w:val="22"/>
        </w:rPr>
        <w:t xml:space="preserve">Add Mexico OXXO payment method via Stripe</w:t>
      </w:r>
    </w:p>
    <w:p>
      <w:pPr>
        <w:pStyle w:val="ListParagraph"/>
        <w:numPr>
          <w:ilvl w:val="0"/>
          <w:numId w:val="3"/>
        </w:numPr>
        <w:spacing w:before="40" w:after="40"/>
      </w:pPr>
      <w:r>
        <w:rPr>
          <w:rFonts w:ascii="Arial" w:cs="Arial" w:eastAsia="Arial" w:hAnsi="Arial"/>
          <w:sz w:val="22"/>
          <w:szCs w:val="22"/>
        </w:rPr>
        <w:t xml:space="preserve">Implement Colombia SIC compliance requirements</w:t>
      </w:r>
    </w:p>
    <w:p>
      <w:pPr>
        <w:pStyle w:val="ListParagraph"/>
        <w:numPr>
          <w:ilvl w:val="0"/>
          <w:numId w:val="3"/>
        </w:numPr>
        <w:spacing w:before="40" w:after="40"/>
      </w:pPr>
      <w:r>
        <w:rPr>
          <w:rFonts w:ascii="Arial" w:cs="Arial" w:eastAsia="Arial" w:hAnsi="Arial"/>
          <w:sz w:val="22"/>
          <w:szCs w:val="22"/>
        </w:rPr>
        <w:t xml:space="preserve">Test with Spanish event organizer accounts</w:t>
      </w:r>
    </w:p>
    <w:p>
      <w:pPr>
        <w:spacing w:before="80" w:after="0"/>
      </w:pPr>
    </w:p>
    <w:p>
      <w:pPr>
        <w:spacing w:before="60" w:after="100"/>
      </w:pPr>
      <w:r>
        <w:rPr>
          <w:rFonts w:ascii="Arial" w:cs="Arial" w:eastAsia="Arial" w:hAnsi="Arial"/>
          <w:sz w:val="22"/>
          <w:szCs w:val="22"/>
        </w:rPr>
        <w:t xml:space="preserve">Phase 3 acceptance criteria: Spanish organizer creates event entirely in Spanish, compliance reports render in correct Spanish variant based on country.</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10. International Pricing Strategy</w:t>
      </w:r>
    </w:p>
    <w:p>
      <w:pPr>
        <w:pStyle w:val="Heading2"/>
        <w:spacing w:before="280" w:after="100"/>
      </w:pPr>
      <w:r>
        <w:rPr>
          <w:rFonts w:ascii="Arial" w:cs="Arial" w:eastAsia="Arial" w:hAnsi="Arial"/>
          <w:b/>
          <w:bCs/>
          <w:color w:val="2E5090"/>
          <w:sz w:val="26"/>
          <w:szCs w:val="26"/>
        </w:rPr>
        <w:t xml:space="preserve">10.1 Purchasing Power Parity Adjustment</w:t>
      </w:r>
    </w:p>
    <w:p>
      <w:pPr>
        <w:spacing w:before="60" w:after="100"/>
      </w:pPr>
      <w:r>
        <w:rPr>
          <w:rFonts w:ascii="Arial" w:cs="Arial" w:eastAsia="Arial" w:hAnsi="Arial"/>
          <w:sz w:val="22"/>
          <w:szCs w:val="22"/>
        </w:rPr>
        <w:t xml:space="preserve">Direct currency conversion creates significant affordability barriers in emerging markets. A $49 Event Pass in USD is expensive in Poland or Colombia. Consider PPP-adjusted pricing for Phase 3 and 4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Market</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Starter</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Event Pass</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Season Pro</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Series</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Adjustment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USA / UK / Australia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$29 / £23 / A$45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$49 / £39 / A$75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$299 / £239 / A$459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$799 / £639 / A$1,229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price</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EU (Germany, France)</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€27</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€45</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€279</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€749</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Slight adjustment for VAT optics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Spain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€229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€599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 reduction — lower avg event revenue</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Poland</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PLN 99</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PLN 169</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PLN 999</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PLN 2,699</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~30% reduction for PPP</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Colombia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COP 110,000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COP 185,000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COP 1,100,000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COP 2,900,000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~40% reduction for PPP</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Mexico</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MXN 550</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MXN 930</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MXN 5,500</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MXN 14,500</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~35% reduction for PPP</w:t>
            </w:r>
          </w:p>
        </w:tc>
      </w:tr>
    </w:tbl>
    <w:p>
      <w:pPr>
        <w:spacing w:before="80" w:after="0"/>
      </w:pPr>
    </w:p>
    <w:p>
      <w:pPr>
        <w:pStyle w:val="Heading2"/>
        <w:spacing w:before="280" w:after="100"/>
      </w:pPr>
      <w:r>
        <w:rPr>
          <w:rFonts w:ascii="Arial" w:cs="Arial" w:eastAsia="Arial" w:hAnsi="Arial"/>
          <w:b/>
          <w:bCs/>
          <w:color w:val="2E5090"/>
          <w:sz w:val="26"/>
          <w:szCs w:val="26"/>
        </w:rPr>
        <w:t xml:space="preserve">10.2 Community Sponsorship — International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Annual Sponsored Cap</w:t>
            </w:r>
          </w:p>
        </w:tc>
        <w:tc>
          <w:tcPr>
            <w:tcW w:type="dxa" w:w="4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Verification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United States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 events/year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501(c)(3) EIN or documented charity beneficiary</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United Kingdom</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15 events/year</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Registered charity number (Charity Commission)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European Union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 events/year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Registered nonprofit in any EU member state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Australia</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10 events/year</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ACNC registered charity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Canada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 events/year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CRA registered charity number</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Rest of World</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5 events/year</w:t>
            </w:r>
          </w:p>
        </w:tc>
        <w:tc>
          <w:tcPr>
            <w:tcW w:type="dxa" w:w="4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Government registration document for nonprofit status</w:t>
            </w:r>
          </w:p>
        </w:tc>
      </w:tr>
    </w:tbl>
    <w:p>
      <w:pPr>
        <w:spacing w:before="120" w:after="0"/>
      </w:pPr>
    </w:p>
    <w:p>
      <w:pPr>
        <w:pBdr>
          <w:top w:val="single" w:color="CCCCCC" w:sz="4" w:space="8"/>
        </w:pBdr>
        <w:spacing w:before="400" w:after="0"/>
        <w:jc w:val="center"/>
      </w:pPr>
      <w:r>
        <w:rPr>
          <w:rFonts w:ascii="Arial" w:cs="Arial" w:eastAsia="Arial" w:hAnsi="Arial"/>
          <w:color w:val="AAAAAA"/>
          <w:sz w:val="18"/>
          <w:szCs w:val="18"/>
        </w:rPr>
        <w:t xml:space="preserve">End of Document — StopCheck Global Expansion Specification v1.0</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StopCheck Global Expansion Specification v1.0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2026-03-28T18:16:01.037Z</dcterms:created>
  <dcterms:modified xsi:type="dcterms:W3CDTF">2026-03-28T18:16:01.037Z</dcterms:modified>
</cp:coreProperties>
</file>

<file path=docProps/custom.xml><?xml version="1.0" encoding="utf-8"?>
<Properties xmlns="http://schemas.openxmlformats.org/officeDocument/2006/custom-properties" xmlns:vt="http://schemas.openxmlformats.org/officeDocument/2006/docPropsVTypes"/>
</file>