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38" w:rsidRDefault="000C6C38" w:rsidP="000C6C38">
      <w:r>
        <w:t>Output May 18, 2016</w:t>
      </w:r>
    </w:p>
    <w:p w:rsidR="000C6C38" w:rsidRDefault="000C6C38" w:rsidP="000C6C38">
      <w:r w:rsidRPr="002A409E">
        <w:t>Conceptual directed diagram (digraph) of the Salish Sea in relation to survival of salmon</w:t>
      </w:r>
      <w:r>
        <w:t xml:space="preserve"> (taken here to be Chinook, Coho, Steelhead)</w:t>
      </w:r>
      <w:r w:rsidRPr="002A409E">
        <w:t>. Model compartments (ovals or rectangles) represent biomass pools, ecosystem drivers, and traits o</w:t>
      </w:r>
      <w:r>
        <w:t>f</w:t>
      </w:r>
      <w:r w:rsidRPr="002A409E">
        <w:t xml:space="preserve"> interest. Lines with arrows show positive relationships; lines with filled circles show negative relationships. Small negative loops on model compartments represent self-limiting functions.</w:t>
      </w:r>
    </w:p>
    <w:p w:rsidR="000C6C38" w:rsidRDefault="000C6C38" w:rsidP="000C6C38">
      <w:pPr>
        <w:spacing w:after="0" w:line="240" w:lineRule="auto"/>
      </w:pPr>
      <w:r>
        <w:rPr>
          <w:noProof/>
        </w:rPr>
        <w:drawing>
          <wp:inline distT="0" distB="0" distL="0" distR="0" wp14:anchorId="68282AA2" wp14:editId="67F885AE">
            <wp:extent cx="5943600" cy="438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v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  <w:r>
        <w:t>This version of the model is different from previous versions in that:</w:t>
      </w:r>
    </w:p>
    <w:p w:rsidR="000C6C38" w:rsidRDefault="000C6C38" w:rsidP="000C6C38">
      <w:pPr>
        <w:spacing w:after="0" w:line="240" w:lineRule="auto"/>
        <w:ind w:firstLine="720"/>
      </w:pPr>
      <w:r>
        <w:t>-It has a disease node</w:t>
      </w:r>
    </w:p>
    <w:p w:rsidR="000C6C38" w:rsidRDefault="000C6C38" w:rsidP="000C6C38">
      <w:pPr>
        <w:spacing w:after="0" w:line="240" w:lineRule="auto"/>
        <w:ind w:firstLine="720"/>
      </w:pPr>
      <w:r>
        <w:t>-The mixing node has been removed</w:t>
      </w:r>
    </w:p>
    <w:p w:rsidR="000C6C38" w:rsidRDefault="000C6C38" w:rsidP="000C6C38">
      <w:pPr>
        <w:spacing w:after="0" w:line="240" w:lineRule="auto"/>
        <w:ind w:firstLine="720"/>
      </w:pPr>
      <w:r>
        <w:t>-The bi-directional arrow has been restored between Fitness and Size</w:t>
      </w: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  <w:r>
        <w:t>Scenarios for Basin-Level Effects</w:t>
      </w:r>
    </w:p>
    <w:p w:rsidR="000C6C38" w:rsidRDefault="000C6C38" w:rsidP="000C6C38">
      <w:pPr>
        <w:spacing w:after="0" w:line="240" w:lineRule="auto"/>
      </w:pPr>
    </w:p>
    <w:tbl>
      <w:tblPr>
        <w:tblStyle w:val="PlainTable2"/>
        <w:tblW w:w="9228" w:type="dxa"/>
        <w:tblLook w:val="0600" w:firstRow="0" w:lastRow="0" w:firstColumn="0" w:lastColumn="0" w:noHBand="1" w:noVBand="1"/>
      </w:tblPr>
      <w:tblGrid>
        <w:gridCol w:w="1530"/>
        <w:gridCol w:w="1359"/>
        <w:gridCol w:w="1804"/>
        <w:gridCol w:w="1359"/>
        <w:gridCol w:w="1816"/>
        <w:gridCol w:w="1360"/>
      </w:tblGrid>
      <w:tr w:rsidR="000C6C38" w:rsidTr="00885C67">
        <w:tc>
          <w:tcPr>
            <w:tcW w:w="153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0C6C38" w:rsidRPr="004F0BC6" w:rsidRDefault="000C6C38" w:rsidP="00885C67">
            <w:pPr>
              <w:rPr>
                <w:b/>
              </w:rPr>
            </w:pPr>
            <w:r w:rsidRPr="004F0BC6">
              <w:rPr>
                <w:b/>
              </w:rPr>
              <w:t>South Sound</w:t>
            </w:r>
          </w:p>
        </w:tc>
        <w:tc>
          <w:tcPr>
            <w:tcW w:w="135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Perturbation</w:t>
            </w:r>
          </w:p>
        </w:tc>
        <w:tc>
          <w:tcPr>
            <w:tcW w:w="1804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0C6C38" w:rsidRPr="004F0BC6" w:rsidRDefault="000C6C38" w:rsidP="00885C67">
            <w:pPr>
              <w:rPr>
                <w:b/>
              </w:rPr>
            </w:pPr>
            <w:r w:rsidRPr="004F0BC6">
              <w:rPr>
                <w:b/>
              </w:rPr>
              <w:t>Hood Canal</w:t>
            </w:r>
          </w:p>
        </w:tc>
        <w:tc>
          <w:tcPr>
            <w:tcW w:w="1359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Perturbation</w:t>
            </w:r>
          </w:p>
        </w:tc>
        <w:tc>
          <w:tcPr>
            <w:tcW w:w="181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0C6C38" w:rsidRPr="004F0BC6" w:rsidRDefault="000C6C38" w:rsidP="00885C67">
            <w:pPr>
              <w:rPr>
                <w:b/>
              </w:rPr>
            </w:pPr>
            <w:r w:rsidRPr="004F0BC6">
              <w:rPr>
                <w:b/>
              </w:rPr>
              <w:t xml:space="preserve">General Basin </w:t>
            </w:r>
          </w:p>
        </w:tc>
        <w:tc>
          <w:tcPr>
            <w:tcW w:w="13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Perturbation</w:t>
            </w:r>
          </w:p>
        </w:tc>
      </w:tr>
      <w:tr w:rsidR="000C6C38" w:rsidTr="00885C67">
        <w:tc>
          <w:tcPr>
            <w:tcW w:w="1530" w:type="dxa"/>
            <w:tcBorders>
              <w:top w:val="single" w:sz="4" w:space="0" w:color="auto"/>
            </w:tcBorders>
          </w:tcPr>
          <w:p w:rsidR="000C6C38" w:rsidRDefault="000C6C38" w:rsidP="00885C67">
            <w:r>
              <w:t>Temperature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</w:tcBorders>
          </w:tcPr>
          <w:p w:rsidR="000C6C38" w:rsidRDefault="000C6C38" w:rsidP="00885C67">
            <w:r>
              <w:t>Stratification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</w:tcPr>
          <w:p w:rsidR="000C6C38" w:rsidRDefault="000C6C38" w:rsidP="00885C67">
            <w:r>
              <w:t>Temperature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>
            <w:r>
              <w:t xml:space="preserve">Gel. </w:t>
            </w:r>
            <w:proofErr w:type="spellStart"/>
            <w:r>
              <w:t>Zooplank</w:t>
            </w:r>
            <w:proofErr w:type="spellEnd"/>
            <w:r>
              <w:t>.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Dissolved Oxygen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Diatoms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↓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>
            <w:r>
              <w:t>Nutrients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Turbidity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 xml:space="preserve">Gel. </w:t>
            </w:r>
            <w:proofErr w:type="spellStart"/>
            <w:r>
              <w:t>Zooplank</w:t>
            </w:r>
            <w:proofErr w:type="spellEnd"/>
            <w:r>
              <w:t>.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>
            <w:r>
              <w:t>Forage Fish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↓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:rsidR="000C6C38" w:rsidRDefault="000C6C38" w:rsidP="00885C67"/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Forage Fish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↓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>
            <w:r>
              <w:t>Habitat Loss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:rsidR="000C6C38" w:rsidRDefault="000C6C38" w:rsidP="00885C67"/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Marine Mammals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>
            <w:r>
              <w:t>Contaminants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:rsidR="000C6C38" w:rsidRDefault="000C6C38" w:rsidP="00885C67"/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Habitat Loss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>
            <w:r>
              <w:t>Hatcheries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  <w:tc>
          <w:tcPr>
            <w:tcW w:w="1804" w:type="dxa"/>
            <w:tcBorders>
              <w:left w:val="single" w:sz="4" w:space="0" w:color="auto"/>
            </w:tcBorders>
          </w:tcPr>
          <w:p w:rsidR="000C6C38" w:rsidRDefault="000C6C38" w:rsidP="00885C67"/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0C6C38" w:rsidRDefault="000C6C38" w:rsidP="00885C67">
            <w:r>
              <w:t>Contaminants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</w:tr>
      <w:tr w:rsidR="000C6C38" w:rsidTr="00885C67">
        <w:tc>
          <w:tcPr>
            <w:tcW w:w="1530" w:type="dxa"/>
          </w:tcPr>
          <w:p w:rsidR="000C6C38" w:rsidRDefault="000C6C38" w:rsidP="00885C67"/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7F7F7F" w:themeColor="text1" w:themeTint="80"/>
            </w:tcBorders>
          </w:tcPr>
          <w:p w:rsidR="000C6C38" w:rsidRDefault="000C6C38" w:rsidP="00885C67"/>
        </w:tc>
        <w:tc>
          <w:tcPr>
            <w:tcW w:w="1359" w:type="dxa"/>
            <w:tcBorders>
              <w:right w:val="single" w:sz="4" w:space="0" w:color="auto"/>
            </w:tcBorders>
          </w:tcPr>
          <w:p w:rsidR="000C6C38" w:rsidRDefault="000C6C38" w:rsidP="00885C67">
            <w:pPr>
              <w:jc w:val="center"/>
            </w:pPr>
          </w:p>
        </w:tc>
        <w:tc>
          <w:tcPr>
            <w:tcW w:w="1816" w:type="dxa"/>
            <w:tcBorders>
              <w:left w:val="single" w:sz="4" w:space="0" w:color="auto"/>
              <w:bottom w:val="single" w:sz="4" w:space="0" w:color="7F7F7F" w:themeColor="text1" w:themeTint="80"/>
            </w:tcBorders>
          </w:tcPr>
          <w:p w:rsidR="000C6C38" w:rsidRDefault="000C6C38" w:rsidP="00885C67">
            <w:r>
              <w:t>Hatcheries</w:t>
            </w:r>
          </w:p>
        </w:tc>
        <w:tc>
          <w:tcPr>
            <w:tcW w:w="1360" w:type="dxa"/>
          </w:tcPr>
          <w:p w:rsidR="000C6C38" w:rsidRDefault="000C6C38" w:rsidP="00885C67">
            <w:pPr>
              <w:jc w:val="center"/>
            </w:pPr>
            <w:r>
              <w:t>↑</w:t>
            </w:r>
          </w:p>
        </w:tc>
      </w:tr>
    </w:tbl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  <w:r>
        <w:t>Output for Scenarios:</w:t>
      </w:r>
    </w:p>
    <w:p w:rsidR="000C6C38" w:rsidRDefault="000C6C38" w:rsidP="000C6C38">
      <w:pPr>
        <w:spacing w:after="0" w:line="240" w:lineRule="auto"/>
      </w:pPr>
      <w:r>
        <w:rPr>
          <w:noProof/>
        </w:rPr>
        <w:drawing>
          <wp:inline distT="0" distB="0" distL="0" distR="0" wp14:anchorId="442D5594" wp14:editId="1A38E1CA">
            <wp:extent cx="5719007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th Sound Scen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47" cy="54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</w:p>
    <w:p w:rsidR="000C6C38" w:rsidRDefault="000C6C38" w:rsidP="000C6C38">
      <w:pPr>
        <w:spacing w:after="0" w:line="240" w:lineRule="auto"/>
      </w:pPr>
      <w:r>
        <w:rPr>
          <w:noProof/>
        </w:rPr>
        <w:drawing>
          <wp:inline distT="0" distB="0" distL="0" distR="0" wp14:anchorId="133ABFC1" wp14:editId="4FDAF986">
            <wp:extent cx="5943600" cy="5612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od Canal Scen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A35C2E" wp14:editId="7C1403A9">
            <wp:extent cx="5840045" cy="55149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l Basin Scen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13" cy="55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r>
        <w:t>Summary of Scenarios:</w:t>
      </w:r>
    </w:p>
    <w:p w:rsidR="000C6C38" w:rsidRDefault="000C6C38" w:rsidP="000C6C38">
      <w:pPr>
        <w:pStyle w:val="ListParagraph"/>
        <w:numPr>
          <w:ilvl w:val="0"/>
          <w:numId w:val="1"/>
        </w:numPr>
      </w:pPr>
      <w:r>
        <w:t>Survival is lowest (most negative in General Basin and South Sound Scenarios), much higher in Hood Canal. This seems to reproduce the actual trends.</w:t>
      </w:r>
    </w:p>
    <w:p w:rsidR="000C6C38" w:rsidRDefault="000C6C38" w:rsidP="000C6C38">
      <w:pPr>
        <w:pStyle w:val="ListParagraph"/>
        <w:numPr>
          <w:ilvl w:val="0"/>
          <w:numId w:val="1"/>
        </w:numPr>
      </w:pPr>
      <w:r>
        <w:t>Other Salmon do well in SS and GB, but not as well in HC, where about 60% of the models show a negative response.</w:t>
      </w:r>
    </w:p>
    <w:p w:rsidR="000C6C38" w:rsidRDefault="000C6C38" w:rsidP="000C6C38">
      <w:pPr>
        <w:pStyle w:val="ListParagraph"/>
        <w:numPr>
          <w:ilvl w:val="0"/>
          <w:numId w:val="1"/>
        </w:numPr>
      </w:pPr>
      <w:r>
        <w:t>Residency response is mostly negative in Hood Canal, but positive in the other two scenarios.</w:t>
      </w:r>
    </w:p>
    <w:p w:rsidR="000C6C38" w:rsidRDefault="000C6C38" w:rsidP="000C6C38">
      <w:pPr>
        <w:pStyle w:val="ListParagraph"/>
        <w:numPr>
          <w:ilvl w:val="0"/>
          <w:numId w:val="1"/>
        </w:numPr>
      </w:pPr>
      <w:r>
        <w:t>Fitness is negative in GB and SS scenarios.</w:t>
      </w:r>
    </w:p>
    <w:p w:rsidR="000C6C38" w:rsidRDefault="000C6C38" w:rsidP="000C6C38">
      <w:pPr>
        <w:pStyle w:val="ListParagraph"/>
      </w:pPr>
    </w:p>
    <w:p w:rsidR="000C6C38" w:rsidRPr="0002760D" w:rsidRDefault="000C6C38" w:rsidP="000C6C38">
      <w:r>
        <w:t xml:space="preserve"> </w:t>
      </w:r>
      <w:r>
        <w:br w:type="page"/>
      </w:r>
    </w:p>
    <w:p w:rsidR="000C6C38" w:rsidRDefault="000C6C38" w:rsidP="000C6C38">
      <w:r>
        <w:lastRenderedPageBreak/>
        <w:t>Outputs for single perturbations for 6 selected nodes:</w:t>
      </w:r>
    </w:p>
    <w:p w:rsidR="000C6C38" w:rsidRDefault="000C6C38" w:rsidP="000C6C38">
      <w:r>
        <w:rPr>
          <w:noProof/>
        </w:rPr>
        <w:drawing>
          <wp:inline distT="0" distB="0" distL="0" distR="0" wp14:anchorId="26DD5804" wp14:editId="14866168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iv_Perturb_Salmon_Traits_3x3_Pag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r>
        <w:rPr>
          <w:noProof/>
        </w:rPr>
        <w:lastRenderedPageBreak/>
        <w:drawing>
          <wp:inline distT="0" distB="0" distL="0" distR="0" wp14:anchorId="02537EFE" wp14:editId="583B9031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iv_Perturb_Salmon_Traits_3x3_Pag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r>
        <w:rPr>
          <w:noProof/>
        </w:rPr>
        <w:lastRenderedPageBreak/>
        <w:drawing>
          <wp:inline distT="0" distB="0" distL="0" distR="0" wp14:anchorId="0017914E" wp14:editId="232E1E3A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iv_Perturb_Salmon_Traits_3x3_Pag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 w:rsidP="000C6C38">
      <w:r>
        <w:rPr>
          <w:noProof/>
        </w:rPr>
        <w:lastRenderedPageBreak/>
        <w:drawing>
          <wp:inline distT="0" distB="0" distL="0" distR="0" wp14:anchorId="3B4A5616" wp14:editId="2DD56841">
            <wp:extent cx="5943600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iv_Perturb_Salmon_Traits_3x3_Page_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41"/>
                    <a:stretch/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C38" w:rsidRDefault="000C6C38" w:rsidP="000C6C38">
      <w:r>
        <w:t xml:space="preserve">Summary </w:t>
      </w:r>
      <w:proofErr w:type="spellStart"/>
      <w:r>
        <w:t>Indiv</w:t>
      </w:r>
      <w:proofErr w:type="spellEnd"/>
      <w:r>
        <w:t>. Perturbations:</w:t>
      </w:r>
    </w:p>
    <w:p w:rsidR="000C6C38" w:rsidRDefault="000C6C38" w:rsidP="000C6C38">
      <w:pPr>
        <w:pStyle w:val="ListParagraph"/>
        <w:numPr>
          <w:ilvl w:val="0"/>
          <w:numId w:val="2"/>
        </w:numPr>
      </w:pPr>
      <w:r>
        <w:t xml:space="preserve">A decline in some </w:t>
      </w:r>
      <w:proofErr w:type="spellStart"/>
      <w:r>
        <w:t>meso</w:t>
      </w:r>
      <w:proofErr w:type="spellEnd"/>
      <w:r>
        <w:t xml:space="preserve">-level </w:t>
      </w:r>
      <w:proofErr w:type="spellStart"/>
      <w:r>
        <w:t>foodweb</w:t>
      </w:r>
      <w:proofErr w:type="spellEnd"/>
      <w:r>
        <w:t xml:space="preserve"> components (zooplankton, forage fish) have across the board moderate to strong effects.</w:t>
      </w:r>
    </w:p>
    <w:p w:rsidR="000C6C38" w:rsidRDefault="000C6C38" w:rsidP="000C6C38">
      <w:pPr>
        <w:pStyle w:val="ListParagraph"/>
        <w:numPr>
          <w:ilvl w:val="0"/>
          <w:numId w:val="2"/>
        </w:numPr>
      </w:pPr>
      <w:r>
        <w:t>Low-trophic level nodes also have strong negative effects (</w:t>
      </w:r>
      <w:proofErr w:type="spellStart"/>
      <w:r>
        <w:t>microzooplankton</w:t>
      </w:r>
      <w:proofErr w:type="spellEnd"/>
      <w:r>
        <w:t xml:space="preserve">, diatoms, gelatinous </w:t>
      </w:r>
      <w:proofErr w:type="spellStart"/>
      <w:r>
        <w:t>zoops</w:t>
      </w:r>
      <w:proofErr w:type="spellEnd"/>
      <w:r>
        <w:t>.).</w:t>
      </w:r>
    </w:p>
    <w:p w:rsidR="000C6C38" w:rsidRDefault="000C6C38" w:rsidP="000C6C38">
      <w:pPr>
        <w:pStyle w:val="ListParagraph"/>
        <w:numPr>
          <w:ilvl w:val="0"/>
          <w:numId w:val="2"/>
        </w:numPr>
      </w:pPr>
      <w:r>
        <w:t xml:space="preserve">Direct effects (habitat loss, contaminants, disease) have strong negative responses, but some oceanography components—which are further removed from the nodes of interest—also have strong negative responses (dissolved oxygen, nutrients, temperature)  </w:t>
      </w:r>
    </w:p>
    <w:p w:rsidR="000C6C38" w:rsidRDefault="000C6C38" w:rsidP="000C6C38">
      <w:pPr>
        <w:pStyle w:val="ListParagraph"/>
        <w:numPr>
          <w:ilvl w:val="0"/>
          <w:numId w:val="2"/>
        </w:numPr>
      </w:pPr>
      <w:r>
        <w:t>Puzzling that the abundance/survival and harvest/survival interactions are contrary to hypotheses, but it likely has to do with feedback loops</w:t>
      </w:r>
    </w:p>
    <w:p w:rsidR="000265B4" w:rsidRDefault="000C6C38">
      <w:bookmarkStart w:id="0" w:name="_GoBack"/>
      <w:bookmarkEnd w:id="0"/>
    </w:p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714E4"/>
    <w:multiLevelType w:val="hybridMultilevel"/>
    <w:tmpl w:val="684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016EB"/>
    <w:multiLevelType w:val="hybridMultilevel"/>
    <w:tmpl w:val="287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38"/>
    <w:rsid w:val="000B451A"/>
    <w:rsid w:val="000C6C38"/>
    <w:rsid w:val="008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4641-1CFF-414F-8667-8D30E208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38"/>
    <w:pPr>
      <w:ind w:left="720"/>
      <w:contextualSpacing/>
    </w:pPr>
  </w:style>
  <w:style w:type="table" w:styleId="PlainTable2">
    <w:name w:val="Plain Table 2"/>
    <w:basedOn w:val="TableNormal"/>
    <w:uiPriority w:val="42"/>
    <w:rsid w:val="000C6C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</cp:revision>
  <dcterms:created xsi:type="dcterms:W3CDTF">2016-05-23T15:19:00Z</dcterms:created>
  <dcterms:modified xsi:type="dcterms:W3CDTF">2016-05-23T15:19:00Z</dcterms:modified>
</cp:coreProperties>
</file>