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3283F"/>
          <w:sz w:val="48"/>
        </w:rPr>
        <w:t>CLARITY SCOPE</w:t>
      </w:r>
    </w:p>
    <w:p>
      <w:pPr>
        <w:spacing w:after="240"/>
      </w:pPr>
      <w:r>
        <w:rPr>
          <w:rFonts w:ascii="Calibri" w:hAnsi="Calibri"/>
          <w:b/>
          <w:color w:val="00A6A6"/>
          <w:sz w:val="26"/>
        </w:rPr>
        <w:t>Genysis IQ AI-Powered Direct Sales &amp; Service Distribution Channel</w:t>
      </w:r>
    </w:p>
    <w:p>
      <w:pPr>
        <w:pStyle w:val="ClarityCallout"/>
        <w:keepLines/>
      </w:pPr>
      <w:r>
        <w:rPr>
          <w:rFonts w:ascii="Calibri" w:hAnsi="Calibri"/>
          <w:b/>
          <w:color w:val="13283F"/>
          <w:sz w:val="22"/>
        </w:rPr>
        <w:t xml:space="preserve">Core intent: </w:t>
      </w:r>
      <w:r>
        <w:rPr>
          <w:rFonts w:ascii="Calibri" w:hAnsi="Calibri"/>
          <w:color w:val="13283F"/>
          <w:sz w:val="22"/>
        </w:rPr>
        <w:t>Build a scalable distribution organization that makes practical AI and related business services easy to discover, purchase, and implement—while creating an attractive sales channel for both Genysis IQ and approved external AI-service companies.</w:t>
      </w:r>
    </w:p>
    <w:p>
      <w:pPr>
        <w:pStyle w:val="Heading1"/>
      </w:pPr>
      <w:r>
        <w:rPr>
          <w:rFonts w:ascii="Calibri" w:hAnsi="Calibri"/>
          <w:b/>
          <w:color w:val="2E74B5"/>
          <w:sz w:val="32"/>
        </w:rPr>
        <w:t>What Genysis IQ is building</w:t>
      </w:r>
    </w:p>
    <w:p>
      <w:pPr>
        <w:spacing w:after="120" w:line="264" w:lineRule="auto"/>
      </w:pPr>
      <w:r>
        <w:rPr>
          <w:rFonts w:ascii="Calibri" w:hAnsi="Calibri"/>
          <w:color w:val="4A5965"/>
          <w:sz w:val="22"/>
        </w:rPr>
        <w:t>Genysis IQ is building an AI-powered direct sales ecosystem. Independent representatives generate qualified traffic through personalized websites, referral links, and relationships. An AI sales platform evaluates each prospect's needs, recommends appropriate services, answers questions, facilitates the transaction, and initiates fulfillment. Genysis IQ or an approved external provider delivers the service.</w:t>
      </w:r>
    </w:p>
    <w:p>
      <w:pPr>
        <w:spacing w:after="120" w:line="264" w:lineRule="auto"/>
      </w:pPr>
      <w:r>
        <w:rPr>
          <w:rFonts w:ascii="Calibri" w:hAnsi="Calibri"/>
          <w:color w:val="4A5965"/>
          <w:sz w:val="22"/>
        </w:rPr>
        <w:t>The representative's primary role is customer introduction and organization building—not technical diagnosis, sales presentation, project scoping, or service delivery. Representatives earn commissions when customer services are delivered and eligible revenue is recognized.</w:t>
      </w:r>
    </w:p>
    <w:p>
      <w:pPr>
        <w:pStyle w:val="Heading1"/>
      </w:pPr>
      <w:r>
        <w:rPr>
          <w:rFonts w:ascii="Calibri" w:hAnsi="Calibri"/>
          <w:b/>
          <w:color w:val="2E74B5"/>
          <w:sz w:val="32"/>
        </w:rPr>
        <w:t>Primary target market</w:t>
      </w:r>
    </w:p>
    <w:p>
      <w:pPr>
        <w:spacing w:after="120" w:line="264" w:lineRule="auto"/>
      </w:pPr>
      <w:r>
        <w:rPr>
          <w:rFonts w:ascii="Calibri" w:hAnsi="Calibri"/>
          <w:color w:val="4A5965"/>
          <w:sz w:val="22"/>
        </w:rPr>
        <w:t>The customer is the center of the model. The initial market consists of people who use technology and AI to operate, market, sell, or grow a business:</w:t>
      </w:r>
    </w:p>
    <w:p>
      <w:pPr>
        <w:pStyle w:val="ListBullet"/>
        <w:spacing w:after="60" w:line="264" w:lineRule="auto"/>
      </w:pPr>
      <w:r>
        <w:rPr>
          <w:rFonts w:ascii="Calibri" w:hAnsi="Calibri"/>
          <w:color w:val="4A5965"/>
          <w:sz w:val="21"/>
        </w:rPr>
        <w:t>Business owners, particularly small and midsized companies with identifiable operational, sales, digital, or security needs.</w:t>
      </w:r>
    </w:p>
    <w:p>
      <w:pPr>
        <w:pStyle w:val="ListBullet"/>
        <w:spacing w:after="60" w:line="264" w:lineRule="auto"/>
      </w:pPr>
      <w:r>
        <w:rPr>
          <w:rFonts w:ascii="Calibri" w:hAnsi="Calibri"/>
          <w:color w:val="4A5965"/>
          <w:sz w:val="21"/>
        </w:rPr>
        <w:t>Solopreneurs who need capabilities that save time, replace specialized labor, or improve their professional presence.</w:t>
      </w:r>
    </w:p>
    <w:p>
      <w:pPr>
        <w:pStyle w:val="ListBullet"/>
        <w:spacing w:after="60" w:line="264" w:lineRule="auto"/>
      </w:pPr>
      <w:r>
        <w:rPr>
          <w:rFonts w:ascii="Calibri" w:hAnsi="Calibri"/>
          <w:color w:val="4A5965"/>
          <w:sz w:val="21"/>
        </w:rPr>
        <w:t>Sales professionals who need prospecting, follow-up, content, personal-brand, website, and relationship-management tools.</w:t>
      </w:r>
    </w:p>
    <w:p>
      <w:pPr>
        <w:pStyle w:val="ListBullet"/>
        <w:spacing w:after="60" w:line="264" w:lineRule="auto"/>
      </w:pPr>
      <w:r>
        <w:rPr>
          <w:rFonts w:ascii="Calibri" w:hAnsi="Calibri"/>
          <w:color w:val="4A5965"/>
          <w:sz w:val="21"/>
        </w:rPr>
        <w:t>Genysis IQ representatives who purchase services for genuine use in their own businesses or professional activities.</w:t>
      </w:r>
    </w:p>
    <w:p>
      <w:pPr>
        <w:pStyle w:val="Heading1"/>
      </w:pPr>
      <w:r>
        <w:rPr>
          <w:rFonts w:ascii="Calibri" w:hAnsi="Calibri"/>
          <w:b/>
          <w:color w:val="2E74B5"/>
          <w:sz w:val="32"/>
        </w:rPr>
        <w:t>The common customer problem</w:t>
      </w:r>
    </w:p>
    <w:p>
      <w:pPr>
        <w:pStyle w:val="ClarityCallout"/>
        <w:keepLines/>
      </w:pPr>
      <w:r>
        <w:rPr>
          <w:rFonts w:ascii="Calibri" w:hAnsi="Calibri"/>
          <w:b/>
          <w:color w:val="13283F"/>
          <w:sz w:val="22"/>
        </w:rPr>
        <w:t xml:space="preserve">Customer reality: </w:t>
      </w:r>
      <w:r>
        <w:rPr>
          <w:rFonts w:ascii="Calibri" w:hAnsi="Calibri"/>
          <w:color w:val="13283F"/>
          <w:sz w:val="22"/>
        </w:rPr>
        <w:t>People know AI may help them, but often do not know what they need, which providers to trust, what a solution should cost, or how to implement it successfully.</w:t>
      </w:r>
    </w:p>
    <w:p>
      <w:pPr>
        <w:spacing w:after="0" w:line="264" w:lineRule="auto"/>
      </w:pPr>
      <w:r>
        <w:rPr>
          <w:rFonts w:ascii="Calibri" w:hAnsi="Calibri"/>
          <w:color w:val="4A5965"/>
          <w:sz w:val="22"/>
        </w:rPr>
        <w:t>The platform resolves that uncertainty by diagnosing the need, matching the customer with a vetted solution, explaining the business value, coordinating the transaction, and supporting implementation.</w:t>
      </w:r>
    </w:p>
    <w:p>
      <w:r>
        <w:br w:type="page"/>
      </w:r>
    </w:p>
    <w:p>
      <w:pPr>
        <w:spacing w:after="20"/>
      </w:pPr>
      <w:r>
        <w:rPr>
          <w:rFonts w:ascii="Calibri" w:hAnsi="Calibri"/>
          <w:b/>
          <w:color w:val="13283F"/>
          <w:sz w:val="36"/>
        </w:rPr>
        <w:t>VALUE, REVENUE &amp; SCOPE BOUNDARIES</w:t>
      </w:r>
    </w:p>
    <w:p>
      <w:pPr>
        <w:spacing w:after="120"/>
      </w:pPr>
      <w:r>
        <w:rPr>
          <w:rFonts w:ascii="Calibri" w:hAnsi="Calibri"/>
          <w:color w:val="00A6A6"/>
          <w:sz w:val="20"/>
        </w:rPr>
        <w:t>How the ecosystem creates value for every participant</w:t>
      </w:r>
    </w:p>
    <w:p>
      <w:pPr>
        <w:pStyle w:val="Heading1"/>
        <w:spacing w:before="160" w:after="80"/>
      </w:pPr>
      <w:r>
        <w:rPr>
          <w:rFonts w:ascii="Calibri" w:hAnsi="Calibri"/>
          <w:b/>
          <w:color w:val="2E74B5"/>
          <w:sz w:val="28"/>
        </w:rPr>
        <w:t>Four participant groups</w:t>
      </w:r>
    </w:p>
    <w:tbl>
      <w:tblPr>
        <w:tblW w:type="dxa" w:w="9360"/>
        <w:jc w:val="left"/>
        <w:tblLayout w:type="fixed"/>
        <w:tblLook w:firstColumn="1" w:firstRow="1" w:lastColumn="0" w:lastRow="0" w:noHBand="0" w:noVBand="1" w:val="04A0"/>
        <w:tblInd w:w="120" w:type="dxa"/>
      </w:tblPr>
      <w:tblGrid>
        <w:gridCol w:w="2100"/>
        <w:gridCol w:w="3500"/>
        <w:gridCol w:w="3760"/>
      </w:tblGrid>
      <w:tr>
        <w:tc>
          <w:tcPr>
            <w:tcW w:type="dxa" w:w="2100"/>
            <w:tcMar>
              <w:top w:w="55" w:type="dxa"/>
              <w:bottom w:w="55" w:type="dxa"/>
              <w:start w:w="100" w:type="dxa"/>
              <w:end w:w="100" w:type="dxa"/>
            </w:tcMar>
            <w:shd w:fill="13283F"/>
            <w:vAlign w:val="center"/>
          </w:tcPr>
          <w:p>
            <w:pPr>
              <w:spacing w:after="0"/>
            </w:pPr>
            <w:r>
              <w:rPr>
                <w:rFonts w:ascii="Calibri" w:hAnsi="Calibri"/>
                <w:b/>
                <w:color w:val="FFFFFF"/>
                <w:sz w:val="16"/>
              </w:rPr>
              <w:t>PARTICIPANT</w:t>
            </w:r>
          </w:p>
        </w:tc>
        <w:tc>
          <w:tcPr>
            <w:tcW w:type="dxa" w:w="3500"/>
            <w:tcMar>
              <w:top w:w="55" w:type="dxa"/>
              <w:bottom w:w="55" w:type="dxa"/>
              <w:start w:w="100" w:type="dxa"/>
              <w:end w:w="100" w:type="dxa"/>
            </w:tcMar>
            <w:shd w:fill="13283F"/>
            <w:vAlign w:val="center"/>
          </w:tcPr>
          <w:p>
            <w:pPr>
              <w:spacing w:after="0"/>
            </w:pPr>
            <w:r>
              <w:rPr>
                <w:rFonts w:ascii="Calibri" w:hAnsi="Calibri"/>
                <w:b/>
                <w:color w:val="FFFFFF"/>
                <w:sz w:val="16"/>
              </w:rPr>
              <w:t>CONTRIBUTION</w:t>
            </w:r>
          </w:p>
        </w:tc>
        <w:tc>
          <w:tcPr>
            <w:tcW w:type="dxa" w:w="3760"/>
            <w:tcMar>
              <w:top w:w="55" w:type="dxa"/>
              <w:bottom w:w="55" w:type="dxa"/>
              <w:start w:w="100" w:type="dxa"/>
              <w:end w:w="100" w:type="dxa"/>
            </w:tcMar>
            <w:shd w:fill="13283F"/>
            <w:vAlign w:val="center"/>
          </w:tcPr>
          <w:p>
            <w:pPr>
              <w:spacing w:after="0"/>
            </w:pPr>
            <w:r>
              <w:rPr>
                <w:rFonts w:ascii="Calibri" w:hAnsi="Calibri"/>
                <w:b/>
                <w:color w:val="FFFFFF"/>
                <w:sz w:val="16"/>
              </w:rPr>
              <w:t>VALUE RECEIVED</w:t>
            </w:r>
          </w:p>
        </w:tc>
      </w:tr>
      <w:tr>
        <w:tc>
          <w:tcPr>
            <w:tcW w:type="dxa" w:w="2100"/>
            <w:tcMar>
              <w:top w:w="55" w:type="dxa"/>
              <w:bottom w:w="55" w:type="dxa"/>
              <w:start w:w="100" w:type="dxa"/>
              <w:end w:w="100" w:type="dxa"/>
            </w:tcMar>
            <w:shd w:fill="F2F4F7"/>
            <w:vAlign w:val="center"/>
          </w:tcPr>
          <w:p>
            <w:pPr>
              <w:spacing w:after="0"/>
            </w:pPr>
            <w:r>
              <w:rPr>
                <w:rFonts w:ascii="Calibri" w:hAnsi="Calibri"/>
                <w:b/>
                <w:color w:val="13283F"/>
                <w:sz w:val="16"/>
              </w:rPr>
              <w:t>Customers</w:t>
            </w:r>
          </w:p>
        </w:tc>
        <w:tc>
          <w:tcPr>
            <w:tcW w:type="dxa" w:w="3500"/>
            <w:tcMar>
              <w:top w:w="55" w:type="dxa"/>
              <w:bottom w:w="55" w:type="dxa"/>
              <w:start w:w="100" w:type="dxa"/>
              <w:end w:w="100" w:type="dxa"/>
            </w:tcMar>
            <w:shd w:fill="F2F4F7"/>
            <w:vAlign w:val="center"/>
          </w:tcPr>
          <w:p>
            <w:pPr>
              <w:spacing w:after="0"/>
            </w:pPr>
            <w:r>
              <w:rPr>
                <w:rFonts w:ascii="Calibri" w:hAnsi="Calibri"/>
                <w:b w:val="0"/>
                <w:color w:val="4A5965"/>
                <w:sz w:val="16"/>
              </w:rPr>
              <w:t>Business needs and purchasing demand</w:t>
            </w:r>
          </w:p>
        </w:tc>
        <w:tc>
          <w:tcPr>
            <w:tcW w:type="dxa" w:w="3760"/>
            <w:tcMar>
              <w:top w:w="55" w:type="dxa"/>
              <w:bottom w:w="55" w:type="dxa"/>
              <w:start w:w="100" w:type="dxa"/>
              <w:end w:w="100" w:type="dxa"/>
            </w:tcMar>
            <w:shd w:fill="F2F4F7"/>
            <w:vAlign w:val="center"/>
          </w:tcPr>
          <w:p>
            <w:pPr>
              <w:spacing w:after="0"/>
            </w:pPr>
            <w:r>
              <w:rPr>
                <w:rFonts w:ascii="Calibri" w:hAnsi="Calibri"/>
                <w:b w:val="0"/>
                <w:color w:val="4A5965"/>
                <w:sz w:val="16"/>
              </w:rPr>
              <w:t>Vetted, understandable services matched to real needs</w:t>
            </w:r>
          </w:p>
        </w:tc>
      </w:tr>
      <w:tr>
        <w:tc>
          <w:tcPr>
            <w:tcW w:type="dxa" w:w="2100"/>
            <w:tcMar>
              <w:top w:w="55" w:type="dxa"/>
              <w:bottom w:w="55" w:type="dxa"/>
              <w:start w:w="100" w:type="dxa"/>
              <w:end w:w="100" w:type="dxa"/>
            </w:tcMar>
            <w:shd w:fill="FFFFFF"/>
            <w:vAlign w:val="center"/>
          </w:tcPr>
          <w:p>
            <w:pPr>
              <w:spacing w:after="0"/>
            </w:pPr>
            <w:r>
              <w:rPr>
                <w:rFonts w:ascii="Calibri" w:hAnsi="Calibri"/>
                <w:b/>
                <w:color w:val="13283F"/>
                <w:sz w:val="16"/>
              </w:rPr>
              <w:t>Representatives</w:t>
            </w:r>
          </w:p>
        </w:tc>
        <w:tc>
          <w:tcPr>
            <w:tcW w:type="dxa" w:w="3500"/>
            <w:tcMar>
              <w:top w:w="55" w:type="dxa"/>
              <w:bottom w:w="55" w:type="dxa"/>
              <w:start w:w="100" w:type="dxa"/>
              <w:end w:w="100" w:type="dxa"/>
            </w:tcMar>
            <w:shd w:fill="FFFFFF"/>
            <w:vAlign w:val="center"/>
          </w:tcPr>
          <w:p>
            <w:pPr>
              <w:spacing w:after="0"/>
            </w:pPr>
            <w:r>
              <w:rPr>
                <w:rFonts w:ascii="Calibri" w:hAnsi="Calibri"/>
                <w:b w:val="0"/>
                <w:color w:val="4A5965"/>
                <w:sz w:val="16"/>
              </w:rPr>
              <w:t>Traffic, referrals, relationships and organization building</w:t>
            </w:r>
          </w:p>
        </w:tc>
        <w:tc>
          <w:tcPr>
            <w:tcW w:type="dxa" w:w="3760"/>
            <w:tcMar>
              <w:top w:w="55" w:type="dxa"/>
              <w:bottom w:w="55" w:type="dxa"/>
              <w:start w:w="100" w:type="dxa"/>
              <w:end w:w="100" w:type="dxa"/>
            </w:tcMar>
            <w:shd w:fill="FFFFFF"/>
            <w:vAlign w:val="center"/>
          </w:tcPr>
          <w:p>
            <w:pPr>
              <w:spacing w:after="0"/>
            </w:pPr>
            <w:r>
              <w:rPr>
                <w:rFonts w:ascii="Calibri" w:hAnsi="Calibri"/>
                <w:b w:val="0"/>
                <w:color w:val="4A5965"/>
                <w:sz w:val="16"/>
              </w:rPr>
              <w:t>AI-supported business platform and commissions on delivered services</w:t>
            </w:r>
          </w:p>
        </w:tc>
      </w:tr>
      <w:tr>
        <w:tc>
          <w:tcPr>
            <w:tcW w:type="dxa" w:w="2100"/>
            <w:tcMar>
              <w:top w:w="55" w:type="dxa"/>
              <w:bottom w:w="55" w:type="dxa"/>
              <w:start w:w="100" w:type="dxa"/>
              <w:end w:w="100" w:type="dxa"/>
            </w:tcMar>
            <w:shd w:fill="F2F4F7"/>
            <w:vAlign w:val="center"/>
          </w:tcPr>
          <w:p>
            <w:pPr>
              <w:spacing w:after="0"/>
            </w:pPr>
            <w:r>
              <w:rPr>
                <w:rFonts w:ascii="Calibri" w:hAnsi="Calibri"/>
                <w:b/>
                <w:color w:val="13283F"/>
                <w:sz w:val="16"/>
              </w:rPr>
              <w:t>External AI providers</w:t>
            </w:r>
          </w:p>
        </w:tc>
        <w:tc>
          <w:tcPr>
            <w:tcW w:type="dxa" w:w="3500"/>
            <w:tcMar>
              <w:top w:w="55" w:type="dxa"/>
              <w:bottom w:w="55" w:type="dxa"/>
              <w:start w:w="100" w:type="dxa"/>
              <w:end w:w="100" w:type="dxa"/>
            </w:tcMar>
            <w:shd w:fill="F2F4F7"/>
            <w:vAlign w:val="center"/>
          </w:tcPr>
          <w:p>
            <w:pPr>
              <w:spacing w:after="0"/>
            </w:pPr>
            <w:r>
              <w:rPr>
                <w:rFonts w:ascii="Calibri" w:hAnsi="Calibri"/>
                <w:b w:val="0"/>
                <w:color w:val="4A5965"/>
                <w:sz w:val="16"/>
              </w:rPr>
              <w:t>Approved technology, services and fulfillment</w:t>
            </w:r>
          </w:p>
        </w:tc>
        <w:tc>
          <w:tcPr>
            <w:tcW w:type="dxa" w:w="3760"/>
            <w:tcMar>
              <w:top w:w="55" w:type="dxa"/>
              <w:bottom w:w="55" w:type="dxa"/>
              <w:start w:w="100" w:type="dxa"/>
              <w:end w:w="100" w:type="dxa"/>
            </w:tcMar>
            <w:shd w:fill="F2F4F7"/>
            <w:vAlign w:val="center"/>
          </w:tcPr>
          <w:p>
            <w:pPr>
              <w:spacing w:after="0"/>
            </w:pPr>
            <w:r>
              <w:rPr>
                <w:rFonts w:ascii="Calibri" w:hAnsi="Calibri"/>
                <w:b w:val="0"/>
                <w:color w:val="4A5965"/>
                <w:sz w:val="16"/>
              </w:rPr>
              <w:t>Access to a scalable customer-acquisition and distribution channel</w:t>
            </w:r>
          </w:p>
        </w:tc>
      </w:tr>
      <w:tr>
        <w:tc>
          <w:tcPr>
            <w:tcW w:type="dxa" w:w="2100"/>
            <w:tcMar>
              <w:top w:w="55" w:type="dxa"/>
              <w:bottom w:w="55" w:type="dxa"/>
              <w:start w:w="100" w:type="dxa"/>
              <w:end w:w="100" w:type="dxa"/>
            </w:tcMar>
            <w:shd w:fill="FFFFFF"/>
            <w:vAlign w:val="center"/>
          </w:tcPr>
          <w:p>
            <w:pPr>
              <w:spacing w:after="0"/>
            </w:pPr>
            <w:r>
              <w:rPr>
                <w:rFonts w:ascii="Calibri" w:hAnsi="Calibri"/>
                <w:b/>
                <w:color w:val="13283F"/>
                <w:sz w:val="16"/>
              </w:rPr>
              <w:t>Genysis IQ</w:t>
            </w:r>
          </w:p>
        </w:tc>
        <w:tc>
          <w:tcPr>
            <w:tcW w:type="dxa" w:w="3500"/>
            <w:tcMar>
              <w:top w:w="55" w:type="dxa"/>
              <w:bottom w:w="55" w:type="dxa"/>
              <w:start w:w="100" w:type="dxa"/>
              <w:end w:w="100" w:type="dxa"/>
            </w:tcMar>
            <w:shd w:fill="FFFFFF"/>
            <w:vAlign w:val="center"/>
          </w:tcPr>
          <w:p>
            <w:pPr>
              <w:spacing w:after="0"/>
            </w:pPr>
            <w:r>
              <w:rPr>
                <w:rFonts w:ascii="Calibri" w:hAnsi="Calibri"/>
                <w:b w:val="0"/>
                <w:color w:val="4A5965"/>
                <w:sz w:val="16"/>
              </w:rPr>
              <w:t>Platform, brand, AI selling, billing, governance and internal delivery</w:t>
            </w:r>
          </w:p>
        </w:tc>
        <w:tc>
          <w:tcPr>
            <w:tcW w:type="dxa" w:w="3760"/>
            <w:tcMar>
              <w:top w:w="55" w:type="dxa"/>
              <w:bottom w:w="55" w:type="dxa"/>
              <w:start w:w="100" w:type="dxa"/>
              <w:end w:w="100" w:type="dxa"/>
            </w:tcMar>
            <w:shd w:fill="FFFFFF"/>
            <w:vAlign w:val="center"/>
          </w:tcPr>
          <w:p>
            <w:pPr>
              <w:spacing w:after="0"/>
            </w:pPr>
            <w:r>
              <w:rPr>
                <w:rFonts w:ascii="Calibri" w:hAnsi="Calibri"/>
                <w:b w:val="0"/>
                <w:color w:val="4A5965"/>
                <w:sz w:val="16"/>
              </w:rPr>
              <w:t>Service margins, distribution revenue, recurring customers and enterprise value</w:t>
            </w:r>
          </w:p>
        </w:tc>
      </w:tr>
    </w:tbl>
    <w:p>
      <w:pPr>
        <w:pStyle w:val="Heading1"/>
        <w:spacing w:before="160" w:after="80"/>
      </w:pPr>
      <w:r>
        <w:rPr>
          <w:rFonts w:ascii="Calibri" w:hAnsi="Calibri"/>
          <w:b/>
          <w:color w:val="2E74B5"/>
          <w:sz w:val="28"/>
        </w:rPr>
        <w:t>Service supply and revenue model</w:t>
      </w:r>
    </w:p>
    <w:p>
      <w:pPr>
        <w:spacing w:after="60" w:line="240" w:lineRule="auto"/>
      </w:pPr>
      <w:r>
        <w:rPr>
          <w:rFonts w:ascii="Calibri" w:hAnsi="Calibri"/>
          <w:color w:val="4A5965"/>
          <w:sz w:val="18"/>
        </w:rPr>
        <w:t>The marketplace will combine internally delivered Genysis IQ services with vetted external AI services. Initial categories may include website analytics, website creation, conversational AI, penetration testing, competitive analysis, AI-search visibility, business automation, ongoing management services, and Genysis IQ business-scaling engagements based on CASPER.</w:t>
      </w:r>
    </w:p>
    <w:p>
      <w:pPr>
        <w:pStyle w:val="ListBullet"/>
        <w:spacing w:after="20" w:line="240" w:lineRule="auto"/>
      </w:pPr>
      <w:r>
        <w:rPr>
          <w:rFonts w:ascii="Calibri" w:hAnsi="Calibri"/>
          <w:color w:val="4A5965"/>
          <w:sz w:val="18"/>
        </w:rPr>
        <w:t>Internal-service margin: revenue remaining after Genysis IQ's direct fulfillment costs.</w:t>
      </w:r>
    </w:p>
    <w:p>
      <w:pPr>
        <w:pStyle w:val="ListBullet"/>
        <w:spacing w:after="20" w:line="240" w:lineRule="auto"/>
      </w:pPr>
      <w:r>
        <w:rPr>
          <w:rFonts w:ascii="Calibri" w:hAnsi="Calibri"/>
          <w:color w:val="4A5965"/>
          <w:sz w:val="18"/>
        </w:rPr>
        <w:t>Business-scaling revenue: AI-led assessments, guided CASPER programs, and advisor-assisted custom engagements addressing clarity, architecture, systems, processes, evaluation, and replication.</w:t>
      </w:r>
    </w:p>
    <w:p>
      <w:pPr>
        <w:pStyle w:val="ListBullet"/>
        <w:spacing w:after="20" w:line="240" w:lineRule="auto"/>
      </w:pPr>
      <w:r>
        <w:rPr>
          <w:rFonts w:ascii="Calibri" w:hAnsi="Calibri"/>
          <w:color w:val="4A5965"/>
          <w:sz w:val="18"/>
        </w:rPr>
        <w:t>External-provider distribution margin: wholesale, reseller, referral, or revenue-sharing income earned for selling partner services through the channel.</w:t>
      </w:r>
    </w:p>
    <w:p>
      <w:pPr>
        <w:pStyle w:val="ListBullet"/>
        <w:spacing w:after="20" w:line="240" w:lineRule="auto"/>
      </w:pPr>
      <w:r>
        <w:rPr>
          <w:rFonts w:ascii="Calibri" w:hAnsi="Calibri"/>
          <w:color w:val="4A5965"/>
          <w:sz w:val="18"/>
        </w:rPr>
        <w:t>Recurring customer revenue: renewals, subscriptions, hosting, monitoring, maintenance, and ongoing optimization.</w:t>
      </w:r>
    </w:p>
    <w:p>
      <w:pPr>
        <w:pStyle w:val="ListBullet"/>
        <w:spacing w:after="20" w:line="240" w:lineRule="auto"/>
      </w:pPr>
      <w:r>
        <w:rPr>
          <w:rFonts w:ascii="Calibri" w:hAnsi="Calibri"/>
          <w:color w:val="4A5965"/>
          <w:sz w:val="18"/>
        </w:rPr>
        <w:t>Representative launch revenue: the proposed $395 launch package covering onboarding, training, personalized AI website, back-office access, tracking, and LLM support.</w:t>
      </w:r>
    </w:p>
    <w:p>
      <w:pPr>
        <w:pStyle w:val="Heading1"/>
        <w:spacing w:before="160" w:after="80"/>
      </w:pPr>
      <w:r>
        <w:rPr>
          <w:rFonts w:ascii="Calibri" w:hAnsi="Calibri"/>
          <w:b/>
          <w:color w:val="2E74B5"/>
          <w:sz w:val="28"/>
        </w:rPr>
        <w:t>Strategic boundaries</w:t>
      </w:r>
    </w:p>
    <w:p>
      <w:pPr>
        <w:pStyle w:val="ListBullet"/>
        <w:spacing w:after="20" w:line="240" w:lineRule="auto"/>
      </w:pPr>
      <w:r>
        <w:rPr>
          <w:rFonts w:ascii="Calibri" w:hAnsi="Calibri"/>
          <w:color w:val="4A5965"/>
          <w:sz w:val="18"/>
        </w:rPr>
        <w:t>The business is customer-value driven; representative enrollment is not the principal revenue engine.</w:t>
      </w:r>
    </w:p>
    <w:p>
      <w:pPr>
        <w:pStyle w:val="ListBullet"/>
        <w:spacing w:after="20" w:line="240" w:lineRule="auto"/>
      </w:pPr>
      <w:r>
        <w:rPr>
          <w:rFonts w:ascii="Calibri" w:hAnsi="Calibri"/>
          <w:color w:val="4A5965"/>
          <w:sz w:val="18"/>
        </w:rPr>
        <w:t>Representatives generate traffic and build organizations; AI and internal advisors handle diagnosis, closing, scoping, and technical delivery.</w:t>
      </w:r>
    </w:p>
    <w:p>
      <w:pPr>
        <w:pStyle w:val="ListBullet"/>
        <w:spacing w:after="20" w:line="240" w:lineRule="auto"/>
      </w:pPr>
      <w:r>
        <w:rPr>
          <w:rFonts w:ascii="Calibri" w:hAnsi="Calibri"/>
          <w:color w:val="4A5965"/>
          <w:sz w:val="18"/>
        </w:rPr>
        <w:t>Business scaling is AI-first: the platform can diagnose, recommend, sell, and guide standardized CASPER work; qualified Genysis IQ advisors join when complexity, judgment, or customization requires human leadership.</w:t>
      </w:r>
    </w:p>
    <w:p>
      <w:pPr>
        <w:pStyle w:val="ListBullet"/>
        <w:spacing w:after="20" w:line="240" w:lineRule="auto"/>
      </w:pPr>
      <w:r>
        <w:rPr>
          <w:rFonts w:ascii="Calibri" w:hAnsi="Calibri"/>
          <w:color w:val="4A5965"/>
          <w:sz w:val="18"/>
        </w:rPr>
        <w:t>External services are curated, tested, economically viable, and aligned with Genysis IQ quality standards before entering the channel.</w:t>
      </w:r>
    </w:p>
    <w:p>
      <w:pPr>
        <w:pStyle w:val="ListBullet"/>
        <w:spacing w:after="20" w:line="240" w:lineRule="auto"/>
      </w:pPr>
      <w:r>
        <w:rPr>
          <w:rFonts w:ascii="Calibri" w:hAnsi="Calibri"/>
          <w:color w:val="4A5965"/>
          <w:sz w:val="18"/>
        </w:rPr>
        <w:t>The platform controls customer attribution, pricing rules, commissionable revenue, billing, service presentation, and provider accountability.</w:t>
      </w:r>
    </w:p>
    <w:p>
      <w:pPr>
        <w:pStyle w:val="ListBullet"/>
        <w:spacing w:after="20" w:line="240" w:lineRule="auto"/>
      </w:pPr>
      <w:r>
        <w:rPr>
          <w:rFonts w:ascii="Calibri" w:hAnsi="Calibri"/>
          <w:color w:val="4A5965"/>
          <w:sz w:val="18"/>
        </w:rPr>
        <w:t>The service catalog may expand continuously, but additions must solve a defined customer problem and support sustainable margins.</w:t>
      </w:r>
    </w:p>
    <w:p>
      <w:pPr>
        <w:pStyle w:val="Heading1"/>
        <w:spacing w:before="160" w:after="80"/>
      </w:pPr>
      <w:r>
        <w:rPr>
          <w:rFonts w:ascii="Calibri" w:hAnsi="Calibri"/>
          <w:b/>
          <w:color w:val="2E74B5"/>
          <w:sz w:val="28"/>
        </w:rPr>
        <w:t>Clarity-stage definition of success</w:t>
      </w:r>
    </w:p>
    <w:p>
      <w:pPr>
        <w:pStyle w:val="ClarityCallout"/>
        <w:keepLines/>
        <w:spacing w:before="60" w:after="80" w:line="240" w:lineRule="auto"/>
      </w:pPr>
      <w:r>
        <w:rPr>
          <w:rFonts w:ascii="Calibri" w:hAnsi="Calibri"/>
          <w:b/>
          <w:color w:val="13283F"/>
          <w:sz w:val="19"/>
        </w:rPr>
        <w:t xml:space="preserve">Success means: </w:t>
      </w:r>
      <w:r>
        <w:rPr>
          <w:rFonts w:ascii="Calibri" w:hAnsi="Calibri"/>
          <w:color w:val="13283F"/>
          <w:sz w:val="19"/>
        </w:rPr>
        <w:t>Genysis IQ becomes a trusted, scalable channel through which business customers obtain useful AI services, representatives build customer-funded income organizations, and qualified AI creators reach markets they could not efficiently access alone.</w:t>
      </w:r>
    </w:p>
    <w:p>
      <w:pPr>
        <w:spacing w:before="80" w:after="60" w:line="240" w:lineRule="auto"/>
      </w:pPr>
      <w:r>
        <w:rPr>
          <w:rFonts w:ascii="Calibri" w:hAnsi="Calibri"/>
          <w:b w:val="0"/>
          <w:i/>
          <w:color w:val="4A5965"/>
          <w:sz w:val="17"/>
        </w:rPr>
        <w:t>Clarity decisions still to finalize before Architecture: initial customer niche and launch geography; opening service catalog; customer promise and brand identity; provider acceptance standards; rep qualifications; pricing and margin thresholds; customer ownership; and measurable first-year objectives.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965"/>
        <w:sz w:val="16"/>
      </w:rPr>
      <w:t>Direct Sales &amp; AI Services Distribution Initiative  •  Working Clarity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0A6A6"/>
        <w:sz w:val="16"/>
      </w:rPr>
      <w:t>GENYSIS IQ  |  CASPER: CLARITY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4A59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720" w:hanging="360"/>
      <w:contextualSpacing/>
    </w:pPr>
    <w:rPr>
      <w:rFonts w:ascii="Calibri" w:hAnsi="Calibri"/>
      <w:color w:val="4A596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rityCallout">
    <w:name w:val="Clarity Callout"/>
    <w:pPr>
      <w:spacing w:before="100" w:after="160" w:line="264" w:lineRule="auto"/>
      <w:ind w:left="259" w:right="259"/>
      <w:shd w:fill="EAF6F6"/>
    </w:pPr>
    <w:rPr>
      <w:rFonts w:ascii="Calibri" w:hAnsi="Calibri"/>
      <w:color w:val="13283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