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0FF56" w14:textId="740B8205" w:rsidR="00A95448" w:rsidRDefault="00A95448" w:rsidP="00F44870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Capstone project proposal</w:t>
      </w:r>
    </w:p>
    <w:p w14:paraId="1497D7AB" w14:textId="1824699F" w:rsidR="00A95448" w:rsidRDefault="00A95448" w:rsidP="00F44870">
      <w:pPr>
        <w:spacing w:line="360" w:lineRule="auto"/>
        <w:jc w:val="center"/>
        <w:rPr>
          <w:b/>
          <w:bCs/>
        </w:rPr>
      </w:pPr>
      <w:r>
        <w:rPr>
          <w:b/>
          <w:bCs/>
        </w:rPr>
        <w:t>ECOM30002/90002 Econometrics 2, Semester 2, 2024</w:t>
      </w:r>
    </w:p>
    <w:p w14:paraId="2EC381BB" w14:textId="5649D1E2" w:rsidR="00F44870" w:rsidRPr="00F44870" w:rsidRDefault="003E4F99" w:rsidP="00F44870">
      <w:pPr>
        <w:spacing w:line="36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Quantifying the impact of housing quality</w:t>
      </w:r>
      <w:r w:rsidR="00A95448" w:rsidRPr="00F44870">
        <w:rPr>
          <w:b/>
          <w:bCs/>
          <w:i/>
          <w:iCs/>
        </w:rPr>
        <w:t xml:space="preserve"> on mental illness in Ghana</w:t>
      </w:r>
      <w:r w:rsidR="00F44870" w:rsidRPr="00F44870">
        <w:rPr>
          <w:b/>
          <w:bCs/>
          <w:i/>
          <w:iCs/>
        </w:rPr>
        <w:t>.</w:t>
      </w:r>
    </w:p>
    <w:p w14:paraId="788BBC97" w14:textId="731101F4" w:rsidR="00F44870" w:rsidRDefault="00F44870" w:rsidP="00F44870">
      <w:pPr>
        <w:spacing w:line="360" w:lineRule="auto"/>
        <w:jc w:val="center"/>
      </w:pPr>
      <w:r>
        <w:t>Josh Copeland (SID: 1444772), Jocelyn (SID: XXXXXXX), Ryan Luo (SID XXXXXXX)</w:t>
      </w:r>
    </w:p>
    <w:p w14:paraId="78E53468" w14:textId="1D4C883C" w:rsidR="00F44870" w:rsidRDefault="00F44870">
      <w:r>
        <w:br w:type="page"/>
      </w:r>
    </w:p>
    <w:p w14:paraId="71DAAAC8" w14:textId="77777777" w:rsidR="00C12729" w:rsidRDefault="00C12729" w:rsidP="00C12729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Research question</w:t>
      </w:r>
    </w:p>
    <w:p w14:paraId="201DD9C6" w14:textId="0732FE2F" w:rsidR="00FF5236" w:rsidRPr="00242673" w:rsidRDefault="00FF5236" w:rsidP="00FF5236">
      <w:r>
        <w:t>The quality of housing is integral to public health. However, while there is a strong empirical link between housing and physical health outcomes ([REFERENCES]), its impact on mental health is less pronounced. Demonstrating this link is critical for demonstrating</w:t>
      </w:r>
      <w:r w:rsidR="0093121B">
        <w:t xml:space="preserve"> practical measures</w:t>
      </w:r>
      <w:r>
        <w:t xml:space="preserve"> </w:t>
      </w:r>
      <w:r w:rsidR="005C7CC7">
        <w:t>which can be taken to</w:t>
      </w:r>
      <w:r>
        <w:t xml:space="preserve"> improve public health outcomes.</w:t>
      </w:r>
    </w:p>
    <w:p w14:paraId="01EE5C93" w14:textId="77777777" w:rsidR="00C12729" w:rsidRDefault="00C12729" w:rsidP="00C12729">
      <w:pPr>
        <w:spacing w:line="360" w:lineRule="auto"/>
        <w:rPr>
          <w:b/>
          <w:bCs/>
        </w:rPr>
      </w:pPr>
      <w:r>
        <w:rPr>
          <w:b/>
          <w:bCs/>
        </w:rPr>
        <w:t>Key causal relationship</w:t>
      </w:r>
    </w:p>
    <w:p w14:paraId="30623591" w14:textId="4650CAD8" w:rsidR="00C12729" w:rsidRDefault="00C12729" w:rsidP="00C12729">
      <w:pPr>
        <w:spacing w:line="360" w:lineRule="auto"/>
      </w:pPr>
      <w:r>
        <w:t>Our research question seeks to understand if the quality of housing</w:t>
      </w:r>
      <w:r w:rsidR="00DC56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="00670D32">
        <w:rPr>
          <w:rFonts w:eastAsiaTheme="minorEastAsia"/>
        </w:rPr>
        <w:t>)</w:t>
      </w:r>
      <w:r>
        <w:t xml:space="preserve"> has an impact of the likelihood of an individual having a mental health disorder</w:t>
      </w:r>
      <w:r w:rsidR="00670D3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0D32">
        <w:rPr>
          <w:rFonts w:eastAsiaTheme="minorEastAsia"/>
        </w:rPr>
        <w:t>)</w:t>
      </w:r>
      <w:r>
        <w:t>. We define our causal model as follows:</w:t>
      </w:r>
    </w:p>
    <w:p w14:paraId="05CF4341" w14:textId="24829CC8" w:rsidR="00FF5236" w:rsidRDefault="00C12729" w:rsidP="00410F3F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7CAA609" w14:textId="2BBCD1F4" w:rsidR="00C12729" w:rsidRDefault="00C12729" w:rsidP="00C12729">
      <w:r>
        <w:t>We hypothesize that that the quality of housing reduces the likelihood of contracting a mental health. This is because the quality of housing can reduce stress and anxiety, improve physical health or improve social connectivity – all of which impact mental health outcomes ([INSERT REFERENCES]).</w:t>
      </w:r>
    </w:p>
    <w:p w14:paraId="54507425" w14:textId="20955771" w:rsidR="00C12729" w:rsidRDefault="00C12729" w:rsidP="00C12729">
      <w:r>
        <w:t xml:space="preserve">However, as it stands our causal model cannot be estimated given there is likely an endogenous relationship between the quality of housing and mental health outcomes ([INSERT REFERENCES]). </w:t>
      </w:r>
      <w:r w:rsidR="00DE238A">
        <w:t>W</w:t>
      </w:r>
      <w:r>
        <w:t>e propose to use individuals’ distance from their main source of drinking water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</m:oMath>
      <w:r>
        <w:t>) and access to electricity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>
        <w:t>) as instrumental variables</w:t>
      </w:r>
      <w:r w:rsidR="00C06721">
        <w:t xml:space="preserve"> as we consider they satisfy the relevance and exogenous assumptions</w:t>
      </w:r>
      <w:r w:rsidR="000C4593">
        <w:t xml:space="preserve"> a priori</w:t>
      </w:r>
      <w:r w:rsidR="00C06721">
        <w:t>.</w:t>
      </w:r>
    </w:p>
    <w:p w14:paraId="2D849738" w14:textId="7865B4A0" w:rsidR="00C12729" w:rsidRDefault="00C12729" w:rsidP="00227D83">
      <w:pPr>
        <w:spacing w:after="0"/>
      </w:pPr>
      <w:r>
        <w:t>We also propose to use several control variables in our analysis: age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</m:oMath>
      <w:r>
        <w:t>), living in a rural area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3i</m:t>
            </m:r>
          </m:sub>
        </m:sSub>
      </m:oMath>
      <w:r>
        <w:t>), [X]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4i</m:t>
            </m:r>
          </m:sub>
        </m:sSub>
      </m:oMath>
      <w:r>
        <w:t>) and [X]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5i</m:t>
            </m:r>
          </m:sub>
        </m:sSub>
      </m:oMath>
      <w:r>
        <w:t xml:space="preserve">). </w:t>
      </w:r>
      <w:r w:rsidR="00CC2AE2">
        <w:t>These additions change our causal model:</w:t>
      </w:r>
    </w:p>
    <w:p w14:paraId="0287B6F9" w14:textId="77777777" w:rsidR="00227D83" w:rsidRDefault="00227D83" w:rsidP="00227D83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784"/>
      </w:tblGrid>
      <w:tr w:rsidR="00C12729" w14:paraId="30CE6FB9" w14:textId="77777777" w:rsidTr="00C12729">
        <w:tc>
          <w:tcPr>
            <w:tcW w:w="6232" w:type="dxa"/>
          </w:tcPr>
          <w:p w14:paraId="52AA08C6" w14:textId="77777777" w:rsidR="00C12729" w:rsidRDefault="00C12729" w:rsidP="00D447F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4" w:type="dxa"/>
          </w:tcPr>
          <w:p w14:paraId="601F6E11" w14:textId="77777777" w:rsidR="00C12729" w:rsidRDefault="00C12729" w:rsidP="00D447F7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</w:tr>
      <w:tr w:rsidR="00C12729" w14:paraId="6CCA8D01" w14:textId="77777777" w:rsidTr="00D447F7">
        <w:tc>
          <w:tcPr>
            <w:tcW w:w="6232" w:type="dxa"/>
          </w:tcPr>
          <w:p w14:paraId="7AA0D51C" w14:textId="77777777" w:rsidR="00C12729" w:rsidRDefault="00C12729" w:rsidP="00D447F7">
            <w:pPr>
              <w:spacing w:line="360" w:lineRule="auto"/>
              <w:rPr>
                <w:rFonts w:ascii="Aptos" w:eastAsia="Aptos" w:hAnsi="Aptos" w:cs="Times New Roman"/>
              </w:rPr>
            </w:pPr>
          </w:p>
        </w:tc>
        <w:tc>
          <w:tcPr>
            <w:tcW w:w="2784" w:type="dxa"/>
          </w:tcPr>
          <w:p w14:paraId="071C8943" w14:textId="77777777" w:rsidR="00C12729" w:rsidRDefault="00C12729" w:rsidP="00D447F7">
            <w:pPr>
              <w:rPr>
                <w:rFonts w:ascii="Aptos" w:eastAsia="Times New Roman" w:hAnsi="Aptos" w:cs="Times New Roman"/>
              </w:rPr>
            </w:pPr>
          </w:p>
        </w:tc>
      </w:tr>
      <w:commentRangeStart w:id="0"/>
      <w:tr w:rsidR="00C12729" w14:paraId="0B286D01" w14:textId="77777777" w:rsidTr="00C12729">
        <w:tc>
          <w:tcPr>
            <w:tcW w:w="6232" w:type="dxa"/>
          </w:tcPr>
          <w:p w14:paraId="31904C03" w14:textId="263A5791" w:rsidR="00C12729" w:rsidRPr="002E3E54" w:rsidRDefault="00C12729" w:rsidP="00D447F7">
            <w:pPr>
              <w:spacing w:line="36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w:commentRangeEnd w:id="0"/>
                <m:r>
                  <m:rPr>
                    <m:sty m:val="p"/>
                  </m:rPr>
                  <w:rPr>
                    <w:rStyle w:val="CommentReference"/>
                  </w:rPr>
                  <w:commentReference w:id="0"/>
                </m:r>
              </m:oMath>
            </m:oMathPara>
          </w:p>
        </w:tc>
        <w:tc>
          <w:tcPr>
            <w:tcW w:w="2784" w:type="dxa"/>
          </w:tcPr>
          <w:p w14:paraId="07C0D141" w14:textId="77777777" w:rsidR="00C12729" w:rsidRDefault="00C12729" w:rsidP="00D447F7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14:paraId="5F1032A3" w14:textId="77777777" w:rsidR="00227D83" w:rsidRDefault="00227D83" w:rsidP="00F44870">
      <w:pPr>
        <w:spacing w:line="360" w:lineRule="auto"/>
      </w:pPr>
    </w:p>
    <w:p w14:paraId="7353C87C" w14:textId="2B8316D8" w:rsidR="003851DA" w:rsidRDefault="003851DA" w:rsidP="00F44870">
      <w:pPr>
        <w:spacing w:line="360" w:lineRule="auto"/>
      </w:pPr>
      <w:r>
        <w:t>Table 1</w:t>
      </w:r>
      <w:r w:rsidR="00235AB9">
        <w:t xml:space="preserve"> shows </w:t>
      </w:r>
      <w:r w:rsidR="00B00398">
        <w:t>descriptive statistics for the variables we will be to answer</w:t>
      </w:r>
      <w:r w:rsidR="00DC47D9">
        <w:t>ing our research question with.</w:t>
      </w:r>
      <w:r w:rsidR="00C41FD2">
        <w:t xml:space="preserve"> M</w:t>
      </w:r>
      <w:r w:rsidR="00F87D6A">
        <w:t>any of the variables we’re proposing to use are dummy variables, except for distance from main drinking water source and age.</w:t>
      </w:r>
    </w:p>
    <w:p w14:paraId="1EA94385" w14:textId="77777777" w:rsidR="00DC47D9" w:rsidRDefault="00DC47D9" w:rsidP="00F44870">
      <w:pPr>
        <w:spacing w:line="360" w:lineRule="auto"/>
      </w:pPr>
    </w:p>
    <w:p w14:paraId="53AFFC45" w14:textId="0B7383B7" w:rsidR="00DC47D9" w:rsidRDefault="00DC47D9"/>
    <w:p w14:paraId="0DE014D2" w14:textId="0CD121B5" w:rsidR="00DC47D9" w:rsidRDefault="00DC47D9" w:rsidP="00DC47D9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Table 1: Descriptive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2268"/>
        <w:gridCol w:w="1261"/>
        <w:gridCol w:w="1239"/>
      </w:tblGrid>
      <w:tr w:rsidR="009E3DBE" w14:paraId="305AC241" w14:textId="77777777" w:rsidTr="006367A2">
        <w:tc>
          <w:tcPr>
            <w:tcW w:w="3397" w:type="dxa"/>
          </w:tcPr>
          <w:p w14:paraId="7918B192" w14:textId="5D3CF3CA" w:rsidR="009E3DBE" w:rsidRPr="004B6B0C" w:rsidRDefault="004B6B0C" w:rsidP="006367A2">
            <w:r w:rsidRPr="004B6B0C">
              <w:t>Variable</w:t>
            </w:r>
          </w:p>
        </w:tc>
        <w:tc>
          <w:tcPr>
            <w:tcW w:w="851" w:type="dxa"/>
          </w:tcPr>
          <w:p w14:paraId="436134AF" w14:textId="473BF69F" w:rsidR="009E3DBE" w:rsidRPr="004B6B0C" w:rsidRDefault="004B6B0C" w:rsidP="006367A2">
            <w:r>
              <w:t>Mean</w:t>
            </w:r>
          </w:p>
        </w:tc>
        <w:tc>
          <w:tcPr>
            <w:tcW w:w="2268" w:type="dxa"/>
          </w:tcPr>
          <w:p w14:paraId="032F0727" w14:textId="32D53307" w:rsidR="009E3DBE" w:rsidRPr="004B6B0C" w:rsidRDefault="004B6B0C" w:rsidP="006367A2">
            <w:r>
              <w:t>Standard deviation</w:t>
            </w:r>
          </w:p>
        </w:tc>
        <w:tc>
          <w:tcPr>
            <w:tcW w:w="1261" w:type="dxa"/>
          </w:tcPr>
          <w:p w14:paraId="3E321406" w14:textId="72872102" w:rsidR="009E3DBE" w:rsidRPr="004B6B0C" w:rsidRDefault="004B6B0C" w:rsidP="006367A2">
            <w:r>
              <w:t>Minimum</w:t>
            </w:r>
          </w:p>
        </w:tc>
        <w:tc>
          <w:tcPr>
            <w:tcW w:w="1239" w:type="dxa"/>
          </w:tcPr>
          <w:p w14:paraId="2236EE25" w14:textId="4F11FF14" w:rsidR="009E3DBE" w:rsidRPr="004B6B0C" w:rsidRDefault="004B6B0C" w:rsidP="006367A2">
            <w:r>
              <w:t>Maximum</w:t>
            </w:r>
          </w:p>
        </w:tc>
      </w:tr>
      <w:tr w:rsidR="009E3DBE" w14:paraId="4DC44550" w14:textId="77777777" w:rsidTr="006367A2">
        <w:tc>
          <w:tcPr>
            <w:tcW w:w="3397" w:type="dxa"/>
          </w:tcPr>
          <w:p w14:paraId="2B079C62" w14:textId="0BAAA91D" w:rsidR="009E3DBE" w:rsidRPr="004B6B0C" w:rsidRDefault="000436CC" w:rsidP="006367A2">
            <w:r>
              <w:t xml:space="preserve">Mental disorder </w:t>
            </w:r>
            <w:r w:rsidR="00255976">
              <w:t>dummy</w:t>
            </w:r>
          </w:p>
        </w:tc>
        <w:tc>
          <w:tcPr>
            <w:tcW w:w="851" w:type="dxa"/>
          </w:tcPr>
          <w:p w14:paraId="5E071FC9" w14:textId="77777777" w:rsidR="009E3DBE" w:rsidRPr="004B6B0C" w:rsidRDefault="009E3DBE" w:rsidP="006367A2"/>
        </w:tc>
        <w:tc>
          <w:tcPr>
            <w:tcW w:w="2268" w:type="dxa"/>
          </w:tcPr>
          <w:p w14:paraId="525B4719" w14:textId="77777777" w:rsidR="009E3DBE" w:rsidRPr="004B6B0C" w:rsidRDefault="009E3DBE" w:rsidP="006367A2"/>
        </w:tc>
        <w:tc>
          <w:tcPr>
            <w:tcW w:w="1261" w:type="dxa"/>
          </w:tcPr>
          <w:p w14:paraId="12C36533" w14:textId="77777777" w:rsidR="009E3DBE" w:rsidRPr="004B6B0C" w:rsidRDefault="009E3DBE" w:rsidP="006367A2"/>
        </w:tc>
        <w:tc>
          <w:tcPr>
            <w:tcW w:w="1239" w:type="dxa"/>
          </w:tcPr>
          <w:p w14:paraId="6D0E0435" w14:textId="77777777" w:rsidR="009E3DBE" w:rsidRPr="004B6B0C" w:rsidRDefault="009E3DBE" w:rsidP="006367A2"/>
        </w:tc>
      </w:tr>
      <w:tr w:rsidR="009E3DBE" w14:paraId="7313420A" w14:textId="77777777" w:rsidTr="006367A2">
        <w:tc>
          <w:tcPr>
            <w:tcW w:w="3397" w:type="dxa"/>
          </w:tcPr>
          <w:p w14:paraId="3E5B7D4A" w14:textId="109D3802" w:rsidR="009E3DBE" w:rsidRPr="004B6B0C" w:rsidRDefault="006F2CAD" w:rsidP="006367A2">
            <w:r>
              <w:t>Distance from main drinking water source</w:t>
            </w:r>
          </w:p>
        </w:tc>
        <w:tc>
          <w:tcPr>
            <w:tcW w:w="851" w:type="dxa"/>
          </w:tcPr>
          <w:p w14:paraId="56E24AF6" w14:textId="77777777" w:rsidR="009E3DBE" w:rsidRPr="004B6B0C" w:rsidRDefault="009E3DBE" w:rsidP="006367A2"/>
        </w:tc>
        <w:tc>
          <w:tcPr>
            <w:tcW w:w="2268" w:type="dxa"/>
          </w:tcPr>
          <w:p w14:paraId="4262995B" w14:textId="77777777" w:rsidR="009E3DBE" w:rsidRPr="004B6B0C" w:rsidRDefault="009E3DBE" w:rsidP="006367A2"/>
        </w:tc>
        <w:tc>
          <w:tcPr>
            <w:tcW w:w="1261" w:type="dxa"/>
          </w:tcPr>
          <w:p w14:paraId="5BA217AA" w14:textId="77777777" w:rsidR="009E3DBE" w:rsidRPr="004B6B0C" w:rsidRDefault="009E3DBE" w:rsidP="006367A2"/>
        </w:tc>
        <w:tc>
          <w:tcPr>
            <w:tcW w:w="1239" w:type="dxa"/>
          </w:tcPr>
          <w:p w14:paraId="7472CC44" w14:textId="77777777" w:rsidR="009E3DBE" w:rsidRPr="004B6B0C" w:rsidRDefault="009E3DBE" w:rsidP="006367A2"/>
        </w:tc>
      </w:tr>
      <w:tr w:rsidR="009E3DBE" w14:paraId="4C69718F" w14:textId="77777777" w:rsidTr="006367A2">
        <w:tc>
          <w:tcPr>
            <w:tcW w:w="3397" w:type="dxa"/>
          </w:tcPr>
          <w:p w14:paraId="44D964DB" w14:textId="1F3D3106" w:rsidR="009E3DBE" w:rsidRPr="004B6B0C" w:rsidRDefault="00883EFA" w:rsidP="006367A2">
            <w:r>
              <w:t>Sewerage exposure</w:t>
            </w:r>
          </w:p>
        </w:tc>
        <w:tc>
          <w:tcPr>
            <w:tcW w:w="851" w:type="dxa"/>
          </w:tcPr>
          <w:p w14:paraId="62FEFCB3" w14:textId="77777777" w:rsidR="009E3DBE" w:rsidRPr="004B6B0C" w:rsidRDefault="009E3DBE" w:rsidP="006367A2"/>
        </w:tc>
        <w:tc>
          <w:tcPr>
            <w:tcW w:w="2268" w:type="dxa"/>
          </w:tcPr>
          <w:p w14:paraId="6B314261" w14:textId="77777777" w:rsidR="009E3DBE" w:rsidRPr="004B6B0C" w:rsidRDefault="009E3DBE" w:rsidP="006367A2"/>
        </w:tc>
        <w:tc>
          <w:tcPr>
            <w:tcW w:w="1261" w:type="dxa"/>
          </w:tcPr>
          <w:p w14:paraId="5BCC7DE5" w14:textId="77777777" w:rsidR="009E3DBE" w:rsidRPr="004B6B0C" w:rsidRDefault="009E3DBE" w:rsidP="006367A2"/>
        </w:tc>
        <w:tc>
          <w:tcPr>
            <w:tcW w:w="1239" w:type="dxa"/>
          </w:tcPr>
          <w:p w14:paraId="4F06A15E" w14:textId="77777777" w:rsidR="009E3DBE" w:rsidRPr="004B6B0C" w:rsidRDefault="009E3DBE" w:rsidP="006367A2"/>
        </w:tc>
      </w:tr>
      <w:tr w:rsidR="009E3DBE" w14:paraId="7DB42B44" w14:textId="77777777" w:rsidTr="006367A2">
        <w:tc>
          <w:tcPr>
            <w:tcW w:w="3397" w:type="dxa"/>
          </w:tcPr>
          <w:p w14:paraId="5A0F0660" w14:textId="3CDA2132" w:rsidR="009E3DBE" w:rsidRPr="004B6B0C" w:rsidRDefault="006F2CAD" w:rsidP="006367A2">
            <w:r>
              <w:t>Age</w:t>
            </w:r>
          </w:p>
        </w:tc>
        <w:tc>
          <w:tcPr>
            <w:tcW w:w="851" w:type="dxa"/>
          </w:tcPr>
          <w:p w14:paraId="0D746579" w14:textId="77777777" w:rsidR="009E3DBE" w:rsidRPr="004B6B0C" w:rsidRDefault="009E3DBE" w:rsidP="006367A2"/>
        </w:tc>
        <w:tc>
          <w:tcPr>
            <w:tcW w:w="2268" w:type="dxa"/>
          </w:tcPr>
          <w:p w14:paraId="45658935" w14:textId="77777777" w:rsidR="009E3DBE" w:rsidRPr="004B6B0C" w:rsidRDefault="009E3DBE" w:rsidP="006367A2"/>
        </w:tc>
        <w:tc>
          <w:tcPr>
            <w:tcW w:w="1261" w:type="dxa"/>
          </w:tcPr>
          <w:p w14:paraId="634D7D36" w14:textId="77777777" w:rsidR="009E3DBE" w:rsidRPr="004B6B0C" w:rsidRDefault="009E3DBE" w:rsidP="006367A2"/>
        </w:tc>
        <w:tc>
          <w:tcPr>
            <w:tcW w:w="1239" w:type="dxa"/>
          </w:tcPr>
          <w:p w14:paraId="2EC95AFB" w14:textId="77777777" w:rsidR="009E3DBE" w:rsidRPr="004B6B0C" w:rsidRDefault="009E3DBE" w:rsidP="006367A2"/>
        </w:tc>
      </w:tr>
      <w:tr w:rsidR="009E3DBE" w14:paraId="584C6E77" w14:textId="77777777" w:rsidTr="006367A2">
        <w:tc>
          <w:tcPr>
            <w:tcW w:w="3397" w:type="dxa"/>
          </w:tcPr>
          <w:p w14:paraId="03ECD8FA" w14:textId="589E3A07" w:rsidR="009E3DBE" w:rsidRPr="004B6B0C" w:rsidRDefault="00DD20B5" w:rsidP="006367A2">
            <w:r>
              <w:t>Sex</w:t>
            </w:r>
          </w:p>
        </w:tc>
        <w:tc>
          <w:tcPr>
            <w:tcW w:w="851" w:type="dxa"/>
          </w:tcPr>
          <w:p w14:paraId="304C994E" w14:textId="77777777" w:rsidR="009E3DBE" w:rsidRPr="004B6B0C" w:rsidRDefault="009E3DBE" w:rsidP="006367A2"/>
        </w:tc>
        <w:tc>
          <w:tcPr>
            <w:tcW w:w="2268" w:type="dxa"/>
          </w:tcPr>
          <w:p w14:paraId="05A21ECE" w14:textId="77777777" w:rsidR="009E3DBE" w:rsidRPr="004B6B0C" w:rsidRDefault="009E3DBE" w:rsidP="006367A2"/>
        </w:tc>
        <w:tc>
          <w:tcPr>
            <w:tcW w:w="1261" w:type="dxa"/>
          </w:tcPr>
          <w:p w14:paraId="378473AB" w14:textId="77777777" w:rsidR="009E3DBE" w:rsidRPr="004B6B0C" w:rsidRDefault="009E3DBE" w:rsidP="006367A2"/>
        </w:tc>
        <w:tc>
          <w:tcPr>
            <w:tcW w:w="1239" w:type="dxa"/>
          </w:tcPr>
          <w:p w14:paraId="6F562EC0" w14:textId="77777777" w:rsidR="009E3DBE" w:rsidRPr="004B6B0C" w:rsidRDefault="009E3DBE" w:rsidP="006367A2"/>
        </w:tc>
      </w:tr>
      <w:tr w:rsidR="00DD20B5" w14:paraId="2585FBA9" w14:textId="77777777" w:rsidTr="006367A2">
        <w:tc>
          <w:tcPr>
            <w:tcW w:w="3397" w:type="dxa"/>
          </w:tcPr>
          <w:p w14:paraId="2F3BEE71" w14:textId="3BC95483" w:rsidR="00DD20B5" w:rsidRDefault="00DD20B5" w:rsidP="006367A2">
            <w:r>
              <w:t>Rural</w:t>
            </w:r>
          </w:p>
        </w:tc>
        <w:tc>
          <w:tcPr>
            <w:tcW w:w="851" w:type="dxa"/>
          </w:tcPr>
          <w:p w14:paraId="29372065" w14:textId="77777777" w:rsidR="00DD20B5" w:rsidRPr="004B6B0C" w:rsidRDefault="00DD20B5" w:rsidP="006367A2"/>
        </w:tc>
        <w:tc>
          <w:tcPr>
            <w:tcW w:w="2268" w:type="dxa"/>
          </w:tcPr>
          <w:p w14:paraId="42E29723" w14:textId="77777777" w:rsidR="00DD20B5" w:rsidRPr="004B6B0C" w:rsidRDefault="00DD20B5" w:rsidP="006367A2"/>
        </w:tc>
        <w:tc>
          <w:tcPr>
            <w:tcW w:w="1261" w:type="dxa"/>
          </w:tcPr>
          <w:p w14:paraId="09CCE865" w14:textId="77777777" w:rsidR="00DD20B5" w:rsidRPr="004B6B0C" w:rsidRDefault="00DD20B5" w:rsidP="006367A2"/>
        </w:tc>
        <w:tc>
          <w:tcPr>
            <w:tcW w:w="1239" w:type="dxa"/>
          </w:tcPr>
          <w:p w14:paraId="14FC1388" w14:textId="77777777" w:rsidR="00DD20B5" w:rsidRPr="004B6B0C" w:rsidRDefault="00DD20B5" w:rsidP="006367A2"/>
        </w:tc>
      </w:tr>
    </w:tbl>
    <w:p w14:paraId="6FD3933D" w14:textId="77777777" w:rsidR="00DC47D9" w:rsidRDefault="00DC47D9" w:rsidP="00DC47D9">
      <w:pPr>
        <w:spacing w:after="0" w:line="360" w:lineRule="auto"/>
        <w:rPr>
          <w:b/>
          <w:bCs/>
        </w:rPr>
      </w:pPr>
    </w:p>
    <w:p w14:paraId="754CE62A" w14:textId="77777777" w:rsidR="00DC47D9" w:rsidRPr="00DC47D9" w:rsidRDefault="00DC47D9" w:rsidP="00F44870">
      <w:pPr>
        <w:spacing w:line="360" w:lineRule="auto"/>
        <w:rPr>
          <w:b/>
          <w:bCs/>
        </w:rPr>
      </w:pPr>
    </w:p>
    <w:p w14:paraId="45992C83" w14:textId="77777777" w:rsidR="003851DA" w:rsidRDefault="003851DA" w:rsidP="00F44870">
      <w:pPr>
        <w:spacing w:line="360" w:lineRule="auto"/>
      </w:pPr>
    </w:p>
    <w:p w14:paraId="2F9B53FD" w14:textId="703F4078" w:rsidR="00FD69A0" w:rsidRPr="00C87294" w:rsidRDefault="003851DA" w:rsidP="00F44870">
      <w:pPr>
        <w:spacing w:line="360" w:lineRule="auto"/>
      </w:pPr>
      <w:r>
        <w:t xml:space="preserve"> </w:t>
      </w:r>
    </w:p>
    <w:sectPr w:rsidR="00FD69A0" w:rsidRPr="00C87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sh Copeland" w:date="2024-08-11T14:02:00Z" w:initials="JC">
    <w:p w14:paraId="68A77B13" w14:textId="77777777" w:rsidR="00F5600F" w:rsidRDefault="00F5600F" w:rsidP="00F5600F">
      <w:pPr>
        <w:pStyle w:val="CommentText"/>
      </w:pPr>
      <w:r>
        <w:rPr>
          <w:rStyle w:val="CommentReference"/>
        </w:rPr>
        <w:annotationRef/>
      </w:r>
      <w:r>
        <w:t>Do we also need to include the other regressors on the first eqn?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A77B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D11FC6B" w16cex:dateUtc="2024-08-11T0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A77B13" w16cid:durableId="4D11FC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h Copeland">
    <w15:presenceInfo w15:providerId="Windows Live" w15:userId="16fd880609b67c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48"/>
    <w:rsid w:val="00014CD1"/>
    <w:rsid w:val="00014E18"/>
    <w:rsid w:val="000310E2"/>
    <w:rsid w:val="000436CC"/>
    <w:rsid w:val="00072A27"/>
    <w:rsid w:val="00090372"/>
    <w:rsid w:val="00092647"/>
    <w:rsid w:val="000C4593"/>
    <w:rsid w:val="000E5B3E"/>
    <w:rsid w:val="00153FD7"/>
    <w:rsid w:val="001B7776"/>
    <w:rsid w:val="001C5E80"/>
    <w:rsid w:val="00207EB2"/>
    <w:rsid w:val="00227D83"/>
    <w:rsid w:val="00235AB9"/>
    <w:rsid w:val="00255976"/>
    <w:rsid w:val="002D3A96"/>
    <w:rsid w:val="002E2BDC"/>
    <w:rsid w:val="002E7415"/>
    <w:rsid w:val="0034260C"/>
    <w:rsid w:val="003719E5"/>
    <w:rsid w:val="003851DA"/>
    <w:rsid w:val="00396229"/>
    <w:rsid w:val="003A2CD2"/>
    <w:rsid w:val="003E4F99"/>
    <w:rsid w:val="00410F3F"/>
    <w:rsid w:val="0041215C"/>
    <w:rsid w:val="004B0BF8"/>
    <w:rsid w:val="004B6B0C"/>
    <w:rsid w:val="004C16FC"/>
    <w:rsid w:val="004C3F8F"/>
    <w:rsid w:val="00516C69"/>
    <w:rsid w:val="00540F87"/>
    <w:rsid w:val="00567E0C"/>
    <w:rsid w:val="00577CEE"/>
    <w:rsid w:val="0058132F"/>
    <w:rsid w:val="005C7CC7"/>
    <w:rsid w:val="00620A28"/>
    <w:rsid w:val="00631AF5"/>
    <w:rsid w:val="006367A2"/>
    <w:rsid w:val="00637B82"/>
    <w:rsid w:val="00650883"/>
    <w:rsid w:val="00670D32"/>
    <w:rsid w:val="00693384"/>
    <w:rsid w:val="006F2CAD"/>
    <w:rsid w:val="006F324A"/>
    <w:rsid w:val="00700D4C"/>
    <w:rsid w:val="00772CFF"/>
    <w:rsid w:val="00777A3D"/>
    <w:rsid w:val="007C29A0"/>
    <w:rsid w:val="0080724F"/>
    <w:rsid w:val="00815F36"/>
    <w:rsid w:val="00844ACE"/>
    <w:rsid w:val="00865C32"/>
    <w:rsid w:val="00883EFA"/>
    <w:rsid w:val="008E41A3"/>
    <w:rsid w:val="009179C7"/>
    <w:rsid w:val="0093121B"/>
    <w:rsid w:val="009B3060"/>
    <w:rsid w:val="009C4906"/>
    <w:rsid w:val="009E3DBE"/>
    <w:rsid w:val="00A76EB6"/>
    <w:rsid w:val="00A95448"/>
    <w:rsid w:val="00AB357E"/>
    <w:rsid w:val="00AC02C5"/>
    <w:rsid w:val="00AD3F8E"/>
    <w:rsid w:val="00AF6A43"/>
    <w:rsid w:val="00B00398"/>
    <w:rsid w:val="00B16425"/>
    <w:rsid w:val="00B35FEF"/>
    <w:rsid w:val="00B52BF3"/>
    <w:rsid w:val="00B97629"/>
    <w:rsid w:val="00BF0113"/>
    <w:rsid w:val="00C06721"/>
    <w:rsid w:val="00C12729"/>
    <w:rsid w:val="00C41FD2"/>
    <w:rsid w:val="00C87294"/>
    <w:rsid w:val="00CB3EFF"/>
    <w:rsid w:val="00CC2AE2"/>
    <w:rsid w:val="00CE1777"/>
    <w:rsid w:val="00D27439"/>
    <w:rsid w:val="00D31B35"/>
    <w:rsid w:val="00DC0273"/>
    <w:rsid w:val="00DC3A54"/>
    <w:rsid w:val="00DC47D9"/>
    <w:rsid w:val="00DC566F"/>
    <w:rsid w:val="00DD20B5"/>
    <w:rsid w:val="00DE238A"/>
    <w:rsid w:val="00DF016D"/>
    <w:rsid w:val="00F44870"/>
    <w:rsid w:val="00F504C2"/>
    <w:rsid w:val="00F5600F"/>
    <w:rsid w:val="00F6151D"/>
    <w:rsid w:val="00F84998"/>
    <w:rsid w:val="00F87D6A"/>
    <w:rsid w:val="00F9468B"/>
    <w:rsid w:val="00FC30AE"/>
    <w:rsid w:val="00FD69A0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182C"/>
  <w15:chartTrackingRefBased/>
  <w15:docId w15:val="{6E7CF372-C823-4CAC-B4B6-06EBFD3E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44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6425"/>
    <w:rPr>
      <w:color w:val="666666"/>
    </w:rPr>
  </w:style>
  <w:style w:type="table" w:styleId="TableGrid">
    <w:name w:val="Table Grid"/>
    <w:basedOn w:val="TableNormal"/>
    <w:uiPriority w:val="39"/>
    <w:rsid w:val="00C12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560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60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60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0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0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Copeland</dc:creator>
  <cp:keywords/>
  <dc:description/>
  <cp:lastModifiedBy>Josh Copeland</cp:lastModifiedBy>
  <cp:revision>98</cp:revision>
  <dcterms:created xsi:type="dcterms:W3CDTF">2024-08-10T05:00:00Z</dcterms:created>
  <dcterms:modified xsi:type="dcterms:W3CDTF">2024-08-11T07:08:00Z</dcterms:modified>
</cp:coreProperties>
</file>