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1D297" w14:textId="77777777" w:rsidR="009D645D" w:rsidRPr="009D645D" w:rsidRDefault="009D645D" w:rsidP="009D645D">
      <w:pPr>
        <w:jc w:val="center"/>
        <w:rPr>
          <w:b/>
          <w:bCs/>
        </w:rPr>
      </w:pPr>
      <w:r w:rsidRPr="009D645D">
        <w:rPr>
          <w:b/>
          <w:bCs/>
        </w:rPr>
        <w:t>Economics of Financial Markets (ECON30024/ECON90024) - Assignment 1</w:t>
      </w:r>
    </w:p>
    <w:p w14:paraId="1EF8C752" w14:textId="77777777" w:rsidR="009D645D" w:rsidRPr="009D645D" w:rsidRDefault="009D645D" w:rsidP="009D645D">
      <w:pPr>
        <w:jc w:val="center"/>
        <w:rPr>
          <w:sz w:val="22"/>
          <w:szCs w:val="22"/>
        </w:rPr>
      </w:pPr>
      <w:r w:rsidRPr="009D645D">
        <w:rPr>
          <w:sz w:val="22"/>
          <w:szCs w:val="22"/>
        </w:rPr>
        <w:t>Shashwat Bharadwaj, Arjuna Bhattacharya, Josh Copeland, Olivier van Druten</w:t>
      </w:r>
    </w:p>
    <w:p w14:paraId="49034DCF" w14:textId="77777777" w:rsidR="009D645D" w:rsidRPr="009D645D" w:rsidRDefault="009D645D" w:rsidP="009D645D">
      <w:pPr>
        <w:rPr>
          <w:b/>
          <w:bCs/>
        </w:rPr>
      </w:pPr>
    </w:p>
    <w:p w14:paraId="2B64CDB9" w14:textId="77777777" w:rsidR="009D645D" w:rsidRPr="009D645D" w:rsidRDefault="009D645D" w:rsidP="009D645D">
      <w:pPr>
        <w:rPr>
          <w:b/>
          <w:bCs/>
          <w:sz w:val="22"/>
          <w:szCs w:val="22"/>
        </w:rPr>
      </w:pPr>
      <w:r w:rsidRPr="009D645D">
        <w:rPr>
          <w:b/>
          <w:bCs/>
          <w:sz w:val="22"/>
          <w:szCs w:val="22"/>
        </w:rPr>
        <w:t>Question 1 (</w:t>
      </w:r>
      <w:proofErr w:type="gramStart"/>
      <w:r w:rsidRPr="009D645D">
        <w:rPr>
          <w:b/>
          <w:bCs/>
          <w:sz w:val="22"/>
          <w:szCs w:val="22"/>
        </w:rPr>
        <w:t>5 page</w:t>
      </w:r>
      <w:proofErr w:type="gramEnd"/>
      <w:r w:rsidRPr="009D645D">
        <w:rPr>
          <w:b/>
          <w:bCs/>
          <w:sz w:val="22"/>
          <w:szCs w:val="22"/>
        </w:rPr>
        <w:t xml:space="preserve"> limit)</w:t>
      </w:r>
    </w:p>
    <w:p w14:paraId="07CDF3F0" w14:textId="018D3ECC" w:rsidR="009D645D" w:rsidRDefault="009D645D" w:rsidP="009D645D">
      <w:pPr>
        <w:pStyle w:val="ListParagraph"/>
        <w:numPr>
          <w:ilvl w:val="0"/>
          <w:numId w:val="13"/>
        </w:numPr>
        <w:rPr>
          <w:b/>
          <w:bCs/>
          <w:sz w:val="22"/>
          <w:szCs w:val="22"/>
        </w:rPr>
      </w:pPr>
      <w:r w:rsidRPr="009D645D">
        <w:rPr>
          <w:b/>
          <w:bCs/>
          <w:sz w:val="22"/>
          <w:szCs w:val="22"/>
        </w:rPr>
        <w:t xml:space="preserve">Ratio of total financial assets to GDP, where ’total financial </w:t>
      </w:r>
      <w:proofErr w:type="spellStart"/>
      <w:r w:rsidRPr="009D645D">
        <w:rPr>
          <w:b/>
          <w:bCs/>
          <w:sz w:val="22"/>
          <w:szCs w:val="22"/>
        </w:rPr>
        <w:t>assets’refers</w:t>
      </w:r>
      <w:proofErr w:type="spellEnd"/>
      <w:r w:rsidRPr="009D645D">
        <w:rPr>
          <w:b/>
          <w:bCs/>
          <w:sz w:val="22"/>
          <w:szCs w:val="22"/>
        </w:rPr>
        <w:t xml:space="preserve"> to total financial assets owned by Australian households and private nonfinancial businesses or corporations.</w:t>
      </w:r>
    </w:p>
    <w:p w14:paraId="0DBC3406" w14:textId="77777777" w:rsidR="009D645D" w:rsidRPr="009D645D" w:rsidRDefault="009D645D" w:rsidP="009D645D">
      <w:pPr>
        <w:pStyle w:val="ListParagraph"/>
        <w:rPr>
          <w:b/>
          <w:bCs/>
          <w:sz w:val="22"/>
          <w:szCs w:val="22"/>
        </w:rPr>
      </w:pPr>
    </w:p>
    <w:p w14:paraId="2E3F2309" w14:textId="29ECF284" w:rsidR="009D645D" w:rsidRDefault="009D645D" w:rsidP="009D645D">
      <w:pPr>
        <w:pStyle w:val="ListParagraph"/>
        <w:numPr>
          <w:ilvl w:val="0"/>
          <w:numId w:val="13"/>
        </w:numPr>
        <w:rPr>
          <w:b/>
          <w:bCs/>
          <w:sz w:val="22"/>
          <w:szCs w:val="22"/>
        </w:rPr>
      </w:pPr>
      <w:r w:rsidRPr="009D645D">
        <w:rPr>
          <w:b/>
          <w:bCs/>
          <w:sz w:val="22"/>
          <w:szCs w:val="22"/>
        </w:rPr>
        <w:t xml:space="preserve">The financial sector’s contribution to GDP (i.e., its </w:t>
      </w:r>
      <w:proofErr w:type="gramStart"/>
      <w:r w:rsidRPr="009D645D">
        <w:rPr>
          <w:b/>
          <w:bCs/>
          <w:sz w:val="22"/>
          <w:szCs w:val="22"/>
        </w:rPr>
        <w:t>value added</w:t>
      </w:r>
      <w:proofErr w:type="gramEnd"/>
      <w:r w:rsidRPr="009D645D">
        <w:rPr>
          <w:b/>
          <w:bCs/>
          <w:sz w:val="22"/>
          <w:szCs w:val="22"/>
        </w:rPr>
        <w:t xml:space="preserve"> share of GDP), where the financial sector refers to the financial and insurance services industry in Australia.</w:t>
      </w:r>
    </w:p>
    <w:p w14:paraId="39AA414B" w14:textId="77777777" w:rsidR="009D645D" w:rsidRPr="009D645D" w:rsidRDefault="009D645D" w:rsidP="009D645D">
      <w:pPr>
        <w:pStyle w:val="ListParagraph"/>
        <w:rPr>
          <w:b/>
          <w:bCs/>
          <w:sz w:val="22"/>
          <w:szCs w:val="22"/>
        </w:rPr>
      </w:pPr>
    </w:p>
    <w:p w14:paraId="79FB52F4" w14:textId="77777777" w:rsidR="009D645D" w:rsidRPr="009D645D" w:rsidRDefault="009D645D" w:rsidP="009D645D">
      <w:pPr>
        <w:pStyle w:val="ListParagraph"/>
        <w:rPr>
          <w:b/>
          <w:bCs/>
          <w:sz w:val="22"/>
          <w:szCs w:val="22"/>
        </w:rPr>
      </w:pPr>
    </w:p>
    <w:p w14:paraId="130A2A4D" w14:textId="5DCCCA3F" w:rsidR="009D645D" w:rsidRPr="009D645D" w:rsidRDefault="009D645D" w:rsidP="009D645D">
      <w:pPr>
        <w:pStyle w:val="ListParagraph"/>
        <w:numPr>
          <w:ilvl w:val="0"/>
          <w:numId w:val="13"/>
        </w:numPr>
        <w:rPr>
          <w:b/>
          <w:bCs/>
          <w:sz w:val="22"/>
          <w:szCs w:val="22"/>
        </w:rPr>
      </w:pPr>
      <w:r w:rsidRPr="009D645D">
        <w:rPr>
          <w:b/>
          <w:bCs/>
          <w:sz w:val="22"/>
          <w:szCs w:val="22"/>
        </w:rPr>
        <w:t xml:space="preserve">The financial sector’s average wage relative to the average wage in all industries, where ‘average wage’ is usually measured by a </w:t>
      </w:r>
      <w:proofErr w:type="gramStart"/>
      <w:r w:rsidRPr="009D645D">
        <w:rPr>
          <w:b/>
          <w:bCs/>
          <w:sz w:val="22"/>
          <w:szCs w:val="22"/>
        </w:rPr>
        <w:t>full time</w:t>
      </w:r>
      <w:proofErr w:type="gramEnd"/>
      <w:r w:rsidRPr="009D645D">
        <w:rPr>
          <w:b/>
          <w:bCs/>
          <w:sz w:val="22"/>
          <w:szCs w:val="22"/>
        </w:rPr>
        <w:t xml:space="preserve"> male adult’s average weekly earnings.</w:t>
      </w:r>
    </w:p>
    <w:p w14:paraId="364DD561" w14:textId="45041CF7" w:rsidR="009D645D" w:rsidRPr="009D645D" w:rsidRDefault="009D645D" w:rsidP="00C1425D">
      <w:pPr>
        <w:rPr>
          <w:b/>
          <w:bCs/>
          <w:sz w:val="22"/>
          <w:szCs w:val="22"/>
        </w:rPr>
      </w:pPr>
      <w:r w:rsidRPr="009D645D">
        <w:rPr>
          <w:b/>
          <w:bCs/>
          <w:sz w:val="22"/>
          <w:szCs w:val="22"/>
        </w:rPr>
        <w:t>Question 2</w:t>
      </w:r>
    </w:p>
    <w:p w14:paraId="0016762A" w14:textId="6B5AFAAC" w:rsidR="009D645D" w:rsidRDefault="009D645D" w:rsidP="009D645D">
      <w:pPr>
        <w:pStyle w:val="ListParagraph"/>
        <w:numPr>
          <w:ilvl w:val="0"/>
          <w:numId w:val="14"/>
        </w:numPr>
        <w:rPr>
          <w:b/>
          <w:bCs/>
          <w:sz w:val="22"/>
          <w:szCs w:val="22"/>
        </w:rPr>
      </w:pPr>
      <w:r w:rsidRPr="009D645D">
        <w:rPr>
          <w:b/>
          <w:bCs/>
          <w:sz w:val="22"/>
          <w:szCs w:val="22"/>
        </w:rPr>
        <w:t>Find monthly data series for All Ordinaries and S&amp;P/ASX 200 indices. Clearly state your data source and sample period in your report, but please do not include the observations of the data series in your report.</w:t>
      </w:r>
    </w:p>
    <w:p w14:paraId="31C7AFE5" w14:textId="77777777" w:rsidR="009D645D" w:rsidRPr="009D645D" w:rsidRDefault="009D645D" w:rsidP="009D645D">
      <w:pPr>
        <w:pStyle w:val="ListParagraph"/>
        <w:rPr>
          <w:b/>
          <w:bCs/>
          <w:sz w:val="22"/>
          <w:szCs w:val="22"/>
        </w:rPr>
      </w:pPr>
    </w:p>
    <w:p w14:paraId="03012FD1" w14:textId="5BDFF607" w:rsidR="009D645D" w:rsidRPr="009D645D" w:rsidRDefault="009D645D" w:rsidP="009D645D">
      <w:pPr>
        <w:pStyle w:val="ListParagraph"/>
        <w:numPr>
          <w:ilvl w:val="0"/>
          <w:numId w:val="14"/>
        </w:numPr>
        <w:rPr>
          <w:b/>
          <w:bCs/>
          <w:sz w:val="22"/>
          <w:szCs w:val="22"/>
        </w:rPr>
      </w:pPr>
      <w:r w:rsidRPr="009D645D">
        <w:rPr>
          <w:b/>
          <w:bCs/>
          <w:sz w:val="22"/>
          <w:szCs w:val="22"/>
        </w:rPr>
        <w:t>For each price index, calculate the corresponding return series. Do this using the exact formula for calculating rates of return on a price index or use the log-difference approximation. Then use the Box-Ljung test (also called Ljung-Box test) to test the joint significance of the first 12 autocorrelations of each return series.</w:t>
      </w:r>
    </w:p>
    <w:p w14:paraId="2D6BC86E" w14:textId="2E82DE8C" w:rsidR="009D645D" w:rsidRPr="009D645D" w:rsidRDefault="009D645D" w:rsidP="009D645D">
      <w:pPr>
        <w:pStyle w:val="NormalWeb"/>
        <w:numPr>
          <w:ilvl w:val="0"/>
          <w:numId w:val="14"/>
        </w:numPr>
        <w:spacing w:before="0" w:beforeAutospacing="0" w:after="0" w:afterAutospacing="0"/>
        <w:textAlignment w:val="baseline"/>
        <w:rPr>
          <w:rFonts w:asciiTheme="minorHAnsi" w:hAnsiTheme="minorHAnsi" w:cs="Arial"/>
          <w:b/>
          <w:bCs/>
          <w:color w:val="000000"/>
          <w:sz w:val="22"/>
          <w:szCs w:val="22"/>
        </w:rPr>
      </w:pPr>
      <w:r w:rsidRPr="009D645D">
        <w:rPr>
          <w:rFonts w:asciiTheme="minorHAnsi" w:hAnsiTheme="minorHAnsi" w:cs="Arial"/>
          <w:b/>
          <w:bCs/>
          <w:color w:val="000000"/>
          <w:sz w:val="22"/>
          <w:szCs w:val="22"/>
        </w:rPr>
        <w:t>Use a unit root test or a regression to test whether the logarithm of each price index follows a random walk. For the regression analysis, you can estimate a simple regression as discussed on slide 11 of Topic 2 (if you don’t have much experience in Econometrics</w:t>
      </w:r>
      <w:proofErr w:type="gramStart"/>
      <w:r w:rsidRPr="009D645D">
        <w:rPr>
          <w:rFonts w:asciiTheme="minorHAnsi" w:hAnsiTheme="minorHAnsi" w:cs="Arial"/>
          <w:b/>
          <w:bCs/>
          <w:color w:val="000000"/>
          <w:sz w:val="22"/>
          <w:szCs w:val="22"/>
        </w:rPr>
        <w:t>), or</w:t>
      </w:r>
      <w:proofErr w:type="gramEnd"/>
      <w:r w:rsidRPr="009D645D">
        <w:rPr>
          <w:rFonts w:asciiTheme="minorHAnsi" w:hAnsiTheme="minorHAnsi" w:cs="Arial"/>
          <w:b/>
          <w:bCs/>
          <w:color w:val="000000"/>
          <w:sz w:val="22"/>
          <w:szCs w:val="22"/>
        </w:rPr>
        <w:t xml:space="preserve"> try to estimate the regression of Groenewold and Kang (1993) as given in Eq. (3) of the paper, or estimate an alternative regression that you think suitable.</w:t>
      </w:r>
    </w:p>
    <w:p w14:paraId="34B85028" w14:textId="77777777" w:rsidR="009D645D" w:rsidRDefault="009D645D" w:rsidP="00C1425D">
      <w:pPr>
        <w:rPr>
          <w:b/>
          <w:bCs/>
          <w:sz w:val="22"/>
          <w:szCs w:val="22"/>
        </w:rPr>
      </w:pPr>
    </w:p>
    <w:p w14:paraId="52DDA088" w14:textId="19FCC03A" w:rsidR="009D645D" w:rsidRDefault="009D645D" w:rsidP="00C1425D">
      <w:pPr>
        <w:rPr>
          <w:b/>
          <w:bCs/>
          <w:sz w:val="22"/>
          <w:szCs w:val="22"/>
        </w:rPr>
      </w:pPr>
      <w:r>
        <w:rPr>
          <w:b/>
          <w:bCs/>
          <w:sz w:val="22"/>
          <w:szCs w:val="22"/>
        </w:rPr>
        <w:t>Question 3</w:t>
      </w:r>
    </w:p>
    <w:p w14:paraId="4DA80FF0" w14:textId="77777777" w:rsidR="009D645D" w:rsidRDefault="009D645D" w:rsidP="009D645D">
      <w:pPr>
        <w:pStyle w:val="ListParagraph"/>
        <w:numPr>
          <w:ilvl w:val="0"/>
          <w:numId w:val="6"/>
        </w:numPr>
        <w:rPr>
          <w:b/>
          <w:bCs/>
          <w:sz w:val="22"/>
          <w:szCs w:val="22"/>
        </w:rPr>
      </w:pPr>
      <w:r w:rsidRPr="00C1425D">
        <w:rPr>
          <w:b/>
          <w:bCs/>
          <w:sz w:val="22"/>
          <w:szCs w:val="22"/>
        </w:rPr>
        <w:t>Are you going to play the game in scenario 1)? Are you going to play the game in scenario 2)? Based on your decisions, comment on your degree of risk aversion in terms of absolute risk aversion (ARA) and relative risk aversion (RRA). That is, do you think you have increasing</w:t>
      </w:r>
      <w:r>
        <w:rPr>
          <w:b/>
          <w:bCs/>
          <w:sz w:val="22"/>
          <w:szCs w:val="22"/>
        </w:rPr>
        <w:t>, decreasing or constant ARA, and increasing or decreasing RRA?</w:t>
      </w:r>
    </w:p>
    <w:p w14:paraId="433918E3" w14:textId="77777777" w:rsidR="009D645D" w:rsidRDefault="009D645D" w:rsidP="009D645D">
      <w:pPr>
        <w:rPr>
          <w:sz w:val="22"/>
          <w:szCs w:val="22"/>
        </w:rPr>
      </w:pPr>
      <w:r>
        <w:rPr>
          <w:sz w:val="22"/>
          <w:szCs w:val="22"/>
        </w:rPr>
        <w:t xml:space="preserve">We would be willing to play the first gamble but not the second. The key conclusion which can be drawn from this is that we are risk-averse, and that we have an increasing ARA and </w:t>
      </w:r>
      <w:r>
        <w:rPr>
          <w:sz w:val="22"/>
          <w:szCs w:val="22"/>
        </w:rPr>
        <w:lastRenderedPageBreak/>
        <w:t>decreasing RRA. This implies we are less willing to take large risks relative to our wealth as it increases.</w:t>
      </w:r>
    </w:p>
    <w:p w14:paraId="007C8CF1" w14:textId="77777777" w:rsidR="009D645D" w:rsidRDefault="009D645D" w:rsidP="009D645D">
      <w:pPr>
        <w:rPr>
          <w:sz w:val="22"/>
          <w:szCs w:val="22"/>
        </w:rPr>
      </w:pPr>
      <w:r>
        <w:rPr>
          <w:sz w:val="22"/>
          <w:szCs w:val="22"/>
        </w:rPr>
        <w:t>More specifically:</w:t>
      </w:r>
    </w:p>
    <w:p w14:paraId="4537B02C" w14:textId="77777777" w:rsidR="009D645D" w:rsidRDefault="009D645D" w:rsidP="009D645D">
      <w:pPr>
        <w:pStyle w:val="ListParagraph"/>
        <w:numPr>
          <w:ilvl w:val="0"/>
          <w:numId w:val="8"/>
        </w:numPr>
        <w:rPr>
          <w:sz w:val="22"/>
          <w:szCs w:val="22"/>
        </w:rPr>
      </w:pPr>
      <w:r>
        <w:rPr>
          <w:sz w:val="22"/>
          <w:szCs w:val="22"/>
        </w:rPr>
        <w:t>Increasing ARA: playing the first gamble but not the second implies ARA increases with wealth we we’re less willing to risk a larger sum even when the relative proportion of wealth at stake is unchanged.</w:t>
      </w:r>
    </w:p>
    <w:p w14:paraId="046E71CA" w14:textId="77777777" w:rsidR="009D645D" w:rsidRPr="00F929C7" w:rsidRDefault="009D645D" w:rsidP="009D645D">
      <w:pPr>
        <w:pStyle w:val="ListParagraph"/>
        <w:numPr>
          <w:ilvl w:val="0"/>
          <w:numId w:val="8"/>
        </w:numPr>
        <w:rPr>
          <w:sz w:val="22"/>
          <w:szCs w:val="22"/>
        </w:rPr>
      </w:pPr>
      <w:r>
        <w:rPr>
          <w:sz w:val="22"/>
          <w:szCs w:val="22"/>
        </w:rPr>
        <w:t>Decreasing relative risk aversion: in both gambles the same proportion of wealth is at risk (50%), but we don’t want to take the second gamble means our risk aversion relative to our wealth decreases as our wealth increases.</w:t>
      </w:r>
    </w:p>
    <w:p w14:paraId="0B2DB45A" w14:textId="77777777" w:rsidR="009D645D" w:rsidRPr="009D645D" w:rsidRDefault="009D645D" w:rsidP="009D645D">
      <w:pPr>
        <w:rPr>
          <w:b/>
          <w:bCs/>
          <w:sz w:val="22"/>
          <w:szCs w:val="22"/>
        </w:rPr>
      </w:pPr>
    </w:p>
    <w:p w14:paraId="079DFFBE" w14:textId="77777777" w:rsidR="009D645D" w:rsidRPr="00C1425D" w:rsidRDefault="009D645D" w:rsidP="009D645D">
      <w:pPr>
        <w:pStyle w:val="ListParagraph"/>
        <w:rPr>
          <w:b/>
          <w:bCs/>
          <w:sz w:val="22"/>
          <w:szCs w:val="22"/>
        </w:rPr>
      </w:pPr>
    </w:p>
    <w:p w14:paraId="0D764B0C" w14:textId="77777777" w:rsidR="00C1425D" w:rsidRPr="00C1425D" w:rsidRDefault="00C1425D" w:rsidP="00C1425D">
      <w:pPr>
        <w:rPr>
          <w:sz w:val="22"/>
          <w:szCs w:val="22"/>
        </w:rPr>
      </w:pPr>
    </w:p>
    <w:sectPr w:rsidR="00C1425D" w:rsidRPr="00C14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486"/>
    <w:multiLevelType w:val="hybridMultilevel"/>
    <w:tmpl w:val="D070F8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4B2AA1"/>
    <w:multiLevelType w:val="multilevel"/>
    <w:tmpl w:val="1EDC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D0DE9"/>
    <w:multiLevelType w:val="multilevel"/>
    <w:tmpl w:val="CBFE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70542"/>
    <w:multiLevelType w:val="hybridMultilevel"/>
    <w:tmpl w:val="73FAD77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F07FE7"/>
    <w:multiLevelType w:val="hybridMultilevel"/>
    <w:tmpl w:val="35D21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7A4E7B"/>
    <w:multiLevelType w:val="hybridMultilevel"/>
    <w:tmpl w:val="07AA4432"/>
    <w:lvl w:ilvl="0" w:tplc="838069BE">
      <w:start w:val="3"/>
      <w:numFmt w:val="lowerLetter"/>
      <w:lvlText w:val="%1."/>
      <w:lvlJc w:val="left"/>
      <w:pPr>
        <w:tabs>
          <w:tab w:val="num" w:pos="720"/>
        </w:tabs>
        <w:ind w:left="720" w:hanging="360"/>
      </w:pPr>
    </w:lvl>
    <w:lvl w:ilvl="1" w:tplc="1C461200" w:tentative="1">
      <w:start w:val="1"/>
      <w:numFmt w:val="decimal"/>
      <w:lvlText w:val="%2."/>
      <w:lvlJc w:val="left"/>
      <w:pPr>
        <w:tabs>
          <w:tab w:val="num" w:pos="1440"/>
        </w:tabs>
        <w:ind w:left="1440" w:hanging="360"/>
      </w:pPr>
    </w:lvl>
    <w:lvl w:ilvl="2" w:tplc="D6040F36" w:tentative="1">
      <w:start w:val="1"/>
      <w:numFmt w:val="decimal"/>
      <w:lvlText w:val="%3."/>
      <w:lvlJc w:val="left"/>
      <w:pPr>
        <w:tabs>
          <w:tab w:val="num" w:pos="2160"/>
        </w:tabs>
        <w:ind w:left="2160" w:hanging="360"/>
      </w:pPr>
    </w:lvl>
    <w:lvl w:ilvl="3" w:tplc="DFBA8F5E" w:tentative="1">
      <w:start w:val="1"/>
      <w:numFmt w:val="decimal"/>
      <w:lvlText w:val="%4."/>
      <w:lvlJc w:val="left"/>
      <w:pPr>
        <w:tabs>
          <w:tab w:val="num" w:pos="2880"/>
        </w:tabs>
        <w:ind w:left="2880" w:hanging="360"/>
      </w:pPr>
    </w:lvl>
    <w:lvl w:ilvl="4" w:tplc="9CA2696A" w:tentative="1">
      <w:start w:val="1"/>
      <w:numFmt w:val="decimal"/>
      <w:lvlText w:val="%5."/>
      <w:lvlJc w:val="left"/>
      <w:pPr>
        <w:tabs>
          <w:tab w:val="num" w:pos="3600"/>
        </w:tabs>
        <w:ind w:left="3600" w:hanging="360"/>
      </w:pPr>
    </w:lvl>
    <w:lvl w:ilvl="5" w:tplc="7E1A35E8" w:tentative="1">
      <w:start w:val="1"/>
      <w:numFmt w:val="decimal"/>
      <w:lvlText w:val="%6."/>
      <w:lvlJc w:val="left"/>
      <w:pPr>
        <w:tabs>
          <w:tab w:val="num" w:pos="4320"/>
        </w:tabs>
        <w:ind w:left="4320" w:hanging="360"/>
      </w:pPr>
    </w:lvl>
    <w:lvl w:ilvl="6" w:tplc="7E6A12F8" w:tentative="1">
      <w:start w:val="1"/>
      <w:numFmt w:val="decimal"/>
      <w:lvlText w:val="%7."/>
      <w:lvlJc w:val="left"/>
      <w:pPr>
        <w:tabs>
          <w:tab w:val="num" w:pos="5040"/>
        </w:tabs>
        <w:ind w:left="5040" w:hanging="360"/>
      </w:pPr>
    </w:lvl>
    <w:lvl w:ilvl="7" w:tplc="0882E114" w:tentative="1">
      <w:start w:val="1"/>
      <w:numFmt w:val="decimal"/>
      <w:lvlText w:val="%8."/>
      <w:lvlJc w:val="left"/>
      <w:pPr>
        <w:tabs>
          <w:tab w:val="num" w:pos="5760"/>
        </w:tabs>
        <w:ind w:left="5760" w:hanging="360"/>
      </w:pPr>
    </w:lvl>
    <w:lvl w:ilvl="8" w:tplc="3668B02C" w:tentative="1">
      <w:start w:val="1"/>
      <w:numFmt w:val="decimal"/>
      <w:lvlText w:val="%9."/>
      <w:lvlJc w:val="left"/>
      <w:pPr>
        <w:tabs>
          <w:tab w:val="num" w:pos="6480"/>
        </w:tabs>
        <w:ind w:left="6480" w:hanging="360"/>
      </w:pPr>
    </w:lvl>
  </w:abstractNum>
  <w:abstractNum w:abstractNumId="6" w15:restartNumberingAfterBreak="0">
    <w:nsid w:val="33A7497B"/>
    <w:multiLevelType w:val="hybridMultilevel"/>
    <w:tmpl w:val="5A84D1F2"/>
    <w:lvl w:ilvl="0" w:tplc="C100A72C">
      <w:start w:val="2"/>
      <w:numFmt w:val="lowerLetter"/>
      <w:lvlText w:val="%1."/>
      <w:lvlJc w:val="left"/>
      <w:pPr>
        <w:tabs>
          <w:tab w:val="num" w:pos="720"/>
        </w:tabs>
        <w:ind w:left="720" w:hanging="360"/>
      </w:pPr>
    </w:lvl>
    <w:lvl w:ilvl="1" w:tplc="AF5C0BD6" w:tentative="1">
      <w:start w:val="1"/>
      <w:numFmt w:val="decimal"/>
      <w:lvlText w:val="%2."/>
      <w:lvlJc w:val="left"/>
      <w:pPr>
        <w:tabs>
          <w:tab w:val="num" w:pos="1440"/>
        </w:tabs>
        <w:ind w:left="1440" w:hanging="360"/>
      </w:pPr>
    </w:lvl>
    <w:lvl w:ilvl="2" w:tplc="51EC25EA" w:tentative="1">
      <w:start w:val="1"/>
      <w:numFmt w:val="decimal"/>
      <w:lvlText w:val="%3."/>
      <w:lvlJc w:val="left"/>
      <w:pPr>
        <w:tabs>
          <w:tab w:val="num" w:pos="2160"/>
        </w:tabs>
        <w:ind w:left="2160" w:hanging="360"/>
      </w:pPr>
    </w:lvl>
    <w:lvl w:ilvl="3" w:tplc="F6CEF976" w:tentative="1">
      <w:start w:val="1"/>
      <w:numFmt w:val="decimal"/>
      <w:lvlText w:val="%4."/>
      <w:lvlJc w:val="left"/>
      <w:pPr>
        <w:tabs>
          <w:tab w:val="num" w:pos="2880"/>
        </w:tabs>
        <w:ind w:left="2880" w:hanging="360"/>
      </w:pPr>
    </w:lvl>
    <w:lvl w:ilvl="4" w:tplc="DE3C5492" w:tentative="1">
      <w:start w:val="1"/>
      <w:numFmt w:val="decimal"/>
      <w:lvlText w:val="%5."/>
      <w:lvlJc w:val="left"/>
      <w:pPr>
        <w:tabs>
          <w:tab w:val="num" w:pos="3600"/>
        </w:tabs>
        <w:ind w:left="3600" w:hanging="360"/>
      </w:pPr>
    </w:lvl>
    <w:lvl w:ilvl="5" w:tplc="D4E4C3B6" w:tentative="1">
      <w:start w:val="1"/>
      <w:numFmt w:val="decimal"/>
      <w:lvlText w:val="%6."/>
      <w:lvlJc w:val="left"/>
      <w:pPr>
        <w:tabs>
          <w:tab w:val="num" w:pos="4320"/>
        </w:tabs>
        <w:ind w:left="4320" w:hanging="360"/>
      </w:pPr>
    </w:lvl>
    <w:lvl w:ilvl="6" w:tplc="9A0C3726" w:tentative="1">
      <w:start w:val="1"/>
      <w:numFmt w:val="decimal"/>
      <w:lvlText w:val="%7."/>
      <w:lvlJc w:val="left"/>
      <w:pPr>
        <w:tabs>
          <w:tab w:val="num" w:pos="5040"/>
        </w:tabs>
        <w:ind w:left="5040" w:hanging="360"/>
      </w:pPr>
    </w:lvl>
    <w:lvl w:ilvl="7" w:tplc="2ECA3FA8" w:tentative="1">
      <w:start w:val="1"/>
      <w:numFmt w:val="decimal"/>
      <w:lvlText w:val="%8."/>
      <w:lvlJc w:val="left"/>
      <w:pPr>
        <w:tabs>
          <w:tab w:val="num" w:pos="5760"/>
        </w:tabs>
        <w:ind w:left="5760" w:hanging="360"/>
      </w:pPr>
    </w:lvl>
    <w:lvl w:ilvl="8" w:tplc="A24EF6D0" w:tentative="1">
      <w:start w:val="1"/>
      <w:numFmt w:val="decimal"/>
      <w:lvlText w:val="%9."/>
      <w:lvlJc w:val="left"/>
      <w:pPr>
        <w:tabs>
          <w:tab w:val="num" w:pos="6480"/>
        </w:tabs>
        <w:ind w:left="6480" w:hanging="360"/>
      </w:pPr>
    </w:lvl>
  </w:abstractNum>
  <w:abstractNum w:abstractNumId="7" w15:restartNumberingAfterBreak="0">
    <w:nsid w:val="36C854F6"/>
    <w:multiLevelType w:val="hybridMultilevel"/>
    <w:tmpl w:val="2FE26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1D43F6"/>
    <w:multiLevelType w:val="hybridMultilevel"/>
    <w:tmpl w:val="87CC08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364E98"/>
    <w:multiLevelType w:val="hybridMultilevel"/>
    <w:tmpl w:val="DC08C6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395FA7"/>
    <w:multiLevelType w:val="hybridMultilevel"/>
    <w:tmpl w:val="9AC85C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80327F3"/>
    <w:multiLevelType w:val="hybridMultilevel"/>
    <w:tmpl w:val="820EE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1B475B"/>
    <w:multiLevelType w:val="hybridMultilevel"/>
    <w:tmpl w:val="638A1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BB1B60"/>
    <w:multiLevelType w:val="hybridMultilevel"/>
    <w:tmpl w:val="D56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22244841">
    <w:abstractNumId w:val="13"/>
  </w:num>
  <w:num w:numId="2" w16cid:durableId="112678289">
    <w:abstractNumId w:val="0"/>
  </w:num>
  <w:num w:numId="3" w16cid:durableId="1663269134">
    <w:abstractNumId w:val="12"/>
  </w:num>
  <w:num w:numId="4" w16cid:durableId="1801603728">
    <w:abstractNumId w:val="7"/>
  </w:num>
  <w:num w:numId="5" w16cid:durableId="1256934913">
    <w:abstractNumId w:val="8"/>
  </w:num>
  <w:num w:numId="6" w16cid:durableId="408962850">
    <w:abstractNumId w:val="3"/>
  </w:num>
  <w:num w:numId="7" w16cid:durableId="265619546">
    <w:abstractNumId w:val="4"/>
  </w:num>
  <w:num w:numId="8" w16cid:durableId="879898475">
    <w:abstractNumId w:val="11"/>
  </w:num>
  <w:num w:numId="9" w16cid:durableId="2051763960">
    <w:abstractNumId w:val="1"/>
    <w:lvlOverride w:ilvl="0">
      <w:lvl w:ilvl="0">
        <w:numFmt w:val="lowerLetter"/>
        <w:lvlText w:val="%1."/>
        <w:lvlJc w:val="left"/>
      </w:lvl>
    </w:lvlOverride>
  </w:num>
  <w:num w:numId="10" w16cid:durableId="327095102">
    <w:abstractNumId w:val="6"/>
  </w:num>
  <w:num w:numId="11" w16cid:durableId="2134248146">
    <w:abstractNumId w:val="5"/>
  </w:num>
  <w:num w:numId="12" w16cid:durableId="1683169788">
    <w:abstractNumId w:val="2"/>
    <w:lvlOverride w:ilvl="0">
      <w:lvl w:ilvl="0">
        <w:numFmt w:val="lowerLetter"/>
        <w:lvlText w:val="%1."/>
        <w:lvlJc w:val="left"/>
      </w:lvl>
    </w:lvlOverride>
  </w:num>
  <w:num w:numId="13" w16cid:durableId="512770030">
    <w:abstractNumId w:val="10"/>
  </w:num>
  <w:num w:numId="14" w16cid:durableId="6342620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5D"/>
    <w:rsid w:val="00110BFA"/>
    <w:rsid w:val="00650BE0"/>
    <w:rsid w:val="006B391E"/>
    <w:rsid w:val="009D645D"/>
    <w:rsid w:val="00C1425D"/>
    <w:rsid w:val="00C41A6B"/>
    <w:rsid w:val="00F929C7"/>
    <w:rsid w:val="00FF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2CF0"/>
  <w15:chartTrackingRefBased/>
  <w15:docId w15:val="{B376FD00-637C-4C89-A220-51A2CDE8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25D"/>
    <w:rPr>
      <w:rFonts w:eastAsiaTheme="majorEastAsia" w:cstheme="majorBidi"/>
      <w:color w:val="272727" w:themeColor="text1" w:themeTint="D8"/>
    </w:rPr>
  </w:style>
  <w:style w:type="paragraph" w:styleId="Title">
    <w:name w:val="Title"/>
    <w:basedOn w:val="Normal"/>
    <w:next w:val="Normal"/>
    <w:link w:val="TitleChar"/>
    <w:uiPriority w:val="10"/>
    <w:qFormat/>
    <w:rsid w:val="00C14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25D"/>
    <w:pPr>
      <w:spacing w:before="160"/>
      <w:jc w:val="center"/>
    </w:pPr>
    <w:rPr>
      <w:i/>
      <w:iCs/>
      <w:color w:val="404040" w:themeColor="text1" w:themeTint="BF"/>
    </w:rPr>
  </w:style>
  <w:style w:type="character" w:customStyle="1" w:styleId="QuoteChar">
    <w:name w:val="Quote Char"/>
    <w:basedOn w:val="DefaultParagraphFont"/>
    <w:link w:val="Quote"/>
    <w:uiPriority w:val="29"/>
    <w:rsid w:val="00C1425D"/>
    <w:rPr>
      <w:i/>
      <w:iCs/>
      <w:color w:val="404040" w:themeColor="text1" w:themeTint="BF"/>
    </w:rPr>
  </w:style>
  <w:style w:type="paragraph" w:styleId="ListParagraph">
    <w:name w:val="List Paragraph"/>
    <w:basedOn w:val="Normal"/>
    <w:uiPriority w:val="34"/>
    <w:qFormat/>
    <w:rsid w:val="00C1425D"/>
    <w:pPr>
      <w:ind w:left="720"/>
      <w:contextualSpacing/>
    </w:pPr>
  </w:style>
  <w:style w:type="character" w:styleId="IntenseEmphasis">
    <w:name w:val="Intense Emphasis"/>
    <w:basedOn w:val="DefaultParagraphFont"/>
    <w:uiPriority w:val="21"/>
    <w:qFormat/>
    <w:rsid w:val="00C1425D"/>
    <w:rPr>
      <w:i/>
      <w:iCs/>
      <w:color w:val="0F4761" w:themeColor="accent1" w:themeShade="BF"/>
    </w:rPr>
  </w:style>
  <w:style w:type="paragraph" w:styleId="IntenseQuote">
    <w:name w:val="Intense Quote"/>
    <w:basedOn w:val="Normal"/>
    <w:next w:val="Normal"/>
    <w:link w:val="IntenseQuoteChar"/>
    <w:uiPriority w:val="30"/>
    <w:qFormat/>
    <w:rsid w:val="00C14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25D"/>
    <w:rPr>
      <w:i/>
      <w:iCs/>
      <w:color w:val="0F4761" w:themeColor="accent1" w:themeShade="BF"/>
    </w:rPr>
  </w:style>
  <w:style w:type="character" w:styleId="IntenseReference">
    <w:name w:val="Intense Reference"/>
    <w:basedOn w:val="DefaultParagraphFont"/>
    <w:uiPriority w:val="32"/>
    <w:qFormat/>
    <w:rsid w:val="00C1425D"/>
    <w:rPr>
      <w:b/>
      <w:bCs/>
      <w:smallCaps/>
      <w:color w:val="0F4761" w:themeColor="accent1" w:themeShade="BF"/>
      <w:spacing w:val="5"/>
    </w:rPr>
  </w:style>
  <w:style w:type="paragraph" w:styleId="NormalWeb">
    <w:name w:val="Normal (Web)"/>
    <w:basedOn w:val="Normal"/>
    <w:uiPriority w:val="99"/>
    <w:semiHidden/>
    <w:unhideWhenUsed/>
    <w:rsid w:val="009D645D"/>
    <w:pPr>
      <w:spacing w:before="100" w:beforeAutospacing="1" w:after="100" w:afterAutospacing="1" w:line="240" w:lineRule="auto"/>
    </w:pPr>
    <w:rPr>
      <w:rFonts w:ascii="Times New Roman" w:eastAsia="Times New Roman" w:hAnsi="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854399">
      <w:bodyDiv w:val="1"/>
      <w:marLeft w:val="0"/>
      <w:marRight w:val="0"/>
      <w:marTop w:val="0"/>
      <w:marBottom w:val="0"/>
      <w:divBdr>
        <w:top w:val="none" w:sz="0" w:space="0" w:color="auto"/>
        <w:left w:val="none" w:sz="0" w:space="0" w:color="auto"/>
        <w:bottom w:val="none" w:sz="0" w:space="0" w:color="auto"/>
        <w:right w:val="none" w:sz="0" w:space="0" w:color="auto"/>
      </w:divBdr>
    </w:div>
    <w:div w:id="1581020741">
      <w:bodyDiv w:val="1"/>
      <w:marLeft w:val="0"/>
      <w:marRight w:val="0"/>
      <w:marTop w:val="0"/>
      <w:marBottom w:val="0"/>
      <w:divBdr>
        <w:top w:val="none" w:sz="0" w:space="0" w:color="auto"/>
        <w:left w:val="none" w:sz="0" w:space="0" w:color="auto"/>
        <w:bottom w:val="none" w:sz="0" w:space="0" w:color="auto"/>
        <w:right w:val="none" w:sz="0" w:space="0" w:color="auto"/>
      </w:divBdr>
    </w:div>
    <w:div w:id="17775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cp:revision>
  <dcterms:created xsi:type="dcterms:W3CDTF">2025-03-28T03:34:00Z</dcterms:created>
  <dcterms:modified xsi:type="dcterms:W3CDTF">2025-03-30T03:18:00Z</dcterms:modified>
</cp:coreProperties>
</file>