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Milestone Four: Enhancement Three: Databases</w:t>
      </w:r>
    </w:p>
    <w:p w:rsidR="00000000" w:rsidDel="00000000" w:rsidP="00000000" w:rsidRDefault="00000000" w:rsidRPr="00000000" w14:paraId="00000002">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w:t>
        <w:br w:type="textWrapping"/>
      </w:r>
      <w:r w:rsidDel="00000000" w:rsidR="00000000" w:rsidRPr="00000000">
        <w:rPr>
          <w:rFonts w:ascii="Times New Roman" w:cs="Times New Roman" w:eastAsia="Times New Roman" w:hAnsi="Times New Roman"/>
          <w:sz w:val="24"/>
          <w:szCs w:val="24"/>
          <w:rtl w:val="0"/>
        </w:rPr>
        <w:t xml:space="preserve">The artifact is </w:t>
      </w:r>
      <w:r w:rsidDel="00000000" w:rsidR="00000000" w:rsidRPr="00000000">
        <w:rPr>
          <w:rFonts w:ascii="Times New Roman" w:cs="Times New Roman" w:eastAsia="Times New Roman" w:hAnsi="Times New Roman"/>
          <w:sz w:val="24"/>
          <w:szCs w:val="24"/>
          <w:rtl w:val="0"/>
        </w:rPr>
        <w:t xml:space="preserve">TreasureMazer_v3_JoshDavila.py</w:t>
      </w:r>
      <w:r w:rsidDel="00000000" w:rsidR="00000000" w:rsidRPr="00000000">
        <w:rPr>
          <w:rFonts w:ascii="Times New Roman" w:cs="Times New Roman" w:eastAsia="Times New Roman" w:hAnsi="Times New Roman"/>
          <w:sz w:val="24"/>
          <w:szCs w:val="24"/>
          <w:rtl w:val="0"/>
        </w:rPr>
        <w:t xml:space="preserve"> (originally developed in CS-370), a grid-maze environment that models an agent (“pirate”) navigating to a treasure. The file was enhanced across milestones to improve structure, add algorithmic features, and now I’ll add lightweight experiment logging using SQLite.</w:t>
      </w:r>
      <w:r w:rsidDel="00000000" w:rsidR="00000000" w:rsidRPr="00000000">
        <w:rPr>
          <w:rtl w:val="0"/>
        </w:rPr>
      </w:r>
    </w:p>
    <w:p w:rsidR="00000000" w:rsidDel="00000000" w:rsidP="00000000" w:rsidRDefault="00000000" w:rsidRPr="00000000" w14:paraId="00000003">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and improvements</w:t>
      </w:r>
    </w:p>
    <w:p w:rsidR="00000000" w:rsidDel="00000000" w:rsidP="00000000" w:rsidRDefault="00000000" w:rsidRPr="00000000" w14:paraId="0000000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because it’s small, well scoped, and touches software design, algorithms, and data management. For this milestone I added simple SQLite logging that records each run and every move. The logging is intentionally minimal, database tables are created if necessary, all SQL uses parameterized queries, and the DB subsystem is optional. This demonstrates database design, secure data operations, and integration of persistence into an application.</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&amp; updates</w:t>
        <w:br w:type="textWrapping"/>
      </w:r>
      <w:r w:rsidDel="00000000" w:rsidR="00000000" w:rsidRPr="00000000">
        <w:rPr>
          <w:rFonts w:ascii="Times New Roman" w:cs="Times New Roman" w:eastAsia="Times New Roman" w:hAnsi="Times New Roman"/>
          <w:sz w:val="24"/>
          <w:szCs w:val="24"/>
          <w:rtl w:val="0"/>
        </w:rPr>
        <w:t xml:space="preserve">This enhancement furthers outcomes in designing and implementing computing solutions and demonstrates use of SQLite to deliver value, making results reviewable by employers. Previously implemented outcomes included modular design, algorithmic optimization, and secure coding basics. Remaining outcomes to complete before the final ePortfolio include CI integration, more extensive benchmarking documentation, and a small front-end or API for dataset export.</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on the process</w:t>
        <w:br w:type="textWrapping"/>
      </w:r>
      <w:r w:rsidDel="00000000" w:rsidR="00000000" w:rsidRPr="00000000">
        <w:rPr>
          <w:rFonts w:ascii="Times New Roman" w:cs="Times New Roman" w:eastAsia="Times New Roman" w:hAnsi="Times New Roman"/>
          <w:sz w:val="24"/>
          <w:szCs w:val="24"/>
          <w:rtl w:val="0"/>
        </w:rPr>
        <w:t xml:space="preserve">Adding database logging reinforced discipline in separating concerns: the environment stays responsible for state transitions while logging methods handle persistence. The main challenges were keeping the DB code minimal  and choosing a schema that captures useful experiment metadata without leaking anything sensitive. Overall, this change improved the artifact’s professional looks and it now supports reproducible experiments, which is useful evidence of development skills in an ePortfolio.</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