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 Register Reconciliation Integrity Fix</w:t>
      </w:r>
    </w:p>
    <w:p>
      <w:pPr>
        <w:jc w:val="left"/>
      </w:pPr>
      <w:r>
        <w:rPr>
          <w:i/>
          <w:color w:val="505050"/>
          <w:sz w:val="20"/>
        </w:rPr>
        <w:t>Execution summary - Section 01 baseline and flow verification</w:t>
      </w:r>
    </w:p>
    <w:tbl>
      <w:tblPr>
        <w:tblStyle w:val="TableGrid"/>
        <w:tblW w:type="auto" w:w="0"/>
        <w:jc w:val="left"/>
        <w:tblLook w:firstColumn="1" w:firstRow="1" w:lastColumn="0" w:lastRow="0" w:noHBand="0" w:noVBand="1" w:val="04A0"/>
      </w:tblPr>
      <w:tblGrid>
        <w:gridCol w:w="5083"/>
        <w:gridCol w:w="5083"/>
      </w:tblGrid>
      <w:tr>
        <w:trPr>
          <w:tblHeader w:val="true"/>
        </w:trPr>
        <w:tc>
          <w:tcPr>
            <w:tcW w:type="dxa" w:w="5083"/>
            <w:vAlign w:val="center"/>
            <w:shd w:fill="EAF2F8"/>
          </w:tcPr>
          <w:p>
            <w:r/>
            <w:r>
              <w:rPr>
                <w:b/>
                <w:sz w:val="18"/>
              </w:rPr>
              <w:t>Execution record</w:t>
            </w:r>
          </w:p>
        </w:tc>
        <w:tc>
          <w:tcPr>
            <w:tcW w:type="dxa" w:w="5083"/>
            <w:vAlign w:val="center"/>
          </w:tcPr>
          <w:p>
            <w:r/>
            <w:r>
              <w:rPr>
                <w:b w:val="0"/>
                <w:sz w:val="18"/>
              </w:rPr>
              <w:t>00_Execution_Summary</w:t>
            </w:r>
          </w:p>
        </w:tc>
      </w:tr>
      <w:tr>
        <w:tc>
          <w:tcPr>
            <w:tcW w:type="dxa" w:w="5083"/>
            <w:vAlign w:val="center"/>
            <w:shd w:fill="EAF2F8"/>
          </w:tcPr>
          <w:p>
            <w:r/>
            <w:r>
              <w:rPr>
                <w:b/>
                <w:sz w:val="18"/>
              </w:rPr>
              <w:t>Plan section</w:t>
            </w:r>
          </w:p>
        </w:tc>
        <w:tc>
          <w:tcPr>
            <w:tcW w:type="dxa" w:w="5083"/>
            <w:vAlign w:val="center"/>
          </w:tcPr>
          <w:p>
            <w:r/>
            <w:r>
              <w:rPr>
                <w:b w:val="0"/>
                <w:sz w:val="18"/>
              </w:rPr>
              <w:t>01 - Objective, Current State and Flow</w:t>
            </w:r>
          </w:p>
        </w:tc>
      </w:tr>
      <w:tr>
        <w:tc>
          <w:tcPr>
            <w:tcW w:type="dxa" w:w="5083"/>
            <w:vAlign w:val="center"/>
            <w:shd w:fill="EAF2F8"/>
          </w:tcPr>
          <w:p>
            <w:r/>
            <w:r>
              <w:rPr>
                <w:b/>
                <w:sz w:val="18"/>
              </w:rPr>
              <w:t>Execution step</w:t>
            </w:r>
          </w:p>
        </w:tc>
        <w:tc>
          <w:tcPr>
            <w:tcW w:type="dxa" w:w="5083"/>
            <w:vAlign w:val="center"/>
          </w:tcPr>
          <w:p>
            <w:r/>
            <w:r>
              <w:rPr>
                <w:b w:val="0"/>
                <w:sz w:val="18"/>
              </w:rPr>
              <w:t>EXEC-001 - Baseline evidence and response-contract verification</w:t>
            </w:r>
          </w:p>
        </w:tc>
      </w:tr>
      <w:tr>
        <w:tc>
          <w:tcPr>
            <w:tcW w:type="dxa" w:w="5083"/>
            <w:vAlign w:val="center"/>
            <w:shd w:fill="EAF2F8"/>
          </w:tcPr>
          <w:p>
            <w:r/>
            <w:r>
              <w:rPr>
                <w:b/>
                <w:sz w:val="18"/>
              </w:rPr>
              <w:t>Repository</w:t>
            </w:r>
          </w:p>
        </w:tc>
        <w:tc>
          <w:tcPr>
            <w:tcW w:type="dxa" w:w="5083"/>
            <w:vAlign w:val="center"/>
          </w:tcPr>
          <w:p>
            <w:r/>
            <w:r>
              <w:rPr>
                <w:b w:val="0"/>
                <w:sz w:val="18"/>
              </w:rPr>
              <w:t>C:/xampp/htdocs/POS-DGFY/.worktrees/StagingPOS</w:t>
            </w:r>
          </w:p>
        </w:tc>
      </w:tr>
      <w:tr>
        <w:tc>
          <w:tcPr>
            <w:tcW w:type="dxa" w:w="5083"/>
            <w:vAlign w:val="center"/>
            <w:shd w:fill="EAF2F8"/>
          </w:tcPr>
          <w:p>
            <w:r/>
            <w:r>
              <w:rPr>
                <w:b/>
                <w:sz w:val="18"/>
              </w:rPr>
              <w:t>Branch and baseline</w:t>
            </w:r>
          </w:p>
        </w:tc>
        <w:tc>
          <w:tcPr>
            <w:tcW w:type="dxa" w:w="5083"/>
            <w:vAlign w:val="center"/>
          </w:tcPr>
          <w:p>
            <w:r/>
            <w:r>
              <w:rPr>
                <w:b w:val="0"/>
                <w:sz w:val="18"/>
              </w:rPr>
              <w:t>StagingPOS at cccf6a942e7ba51e3ffaa9ff405f785cf13e389a</w:t>
            </w:r>
          </w:p>
        </w:tc>
      </w:tr>
      <w:tr>
        <w:tc>
          <w:tcPr>
            <w:tcW w:type="dxa" w:w="5083"/>
            <w:vAlign w:val="center"/>
            <w:shd w:fill="EAF2F8"/>
          </w:tcPr>
          <w:p>
            <w:r/>
            <w:r>
              <w:rPr>
                <w:b/>
                <w:sz w:val="18"/>
              </w:rPr>
              <w:t>Execution date</w:t>
            </w:r>
          </w:p>
        </w:tc>
        <w:tc>
          <w:tcPr>
            <w:tcW w:type="dxa" w:w="5083"/>
            <w:vAlign w:val="center"/>
          </w:tcPr>
          <w:p>
            <w:r/>
            <w:r>
              <w:rPr>
                <w:b w:val="0"/>
                <w:sz w:val="18"/>
              </w:rPr>
              <w:t>2026-09-28</w:t>
            </w:r>
          </w:p>
        </w:tc>
      </w:tr>
      <w:tr>
        <w:tc>
          <w:tcPr>
            <w:tcW w:type="dxa" w:w="5083"/>
            <w:vAlign w:val="center"/>
            <w:shd w:fill="EAF2F8"/>
          </w:tcPr>
          <w:p>
            <w:r/>
            <w:r>
              <w:rPr>
                <w:b/>
                <w:sz w:val="18"/>
              </w:rPr>
              <w:t>Overall section status</w:t>
            </w:r>
          </w:p>
        </w:tc>
        <w:tc>
          <w:tcPr>
            <w:tcW w:type="dxa" w:w="5083"/>
            <w:vAlign w:val="center"/>
          </w:tcPr>
          <w:p>
            <w:r/>
            <w:r>
              <w:rPr>
                <w:b w:val="0"/>
                <w:sz w:val="18"/>
              </w:rPr>
              <w:t>PARTIALLY COMPLETE - BLOCKED</w:t>
            </w:r>
          </w:p>
        </w:tc>
      </w:tr>
    </w:tbl>
    <w:p/>
    <w:p>
      <w:pPr>
        <w:pStyle w:val="Heading1"/>
      </w:pPr>
      <w:r>
        <w:t>1. Objective and scope</w:t>
      </w:r>
    </w:p>
    <w:p>
      <w:r>
        <w:t>Verify the reported register reconciliation defect, map the current backend-to-UI-to-export flow, freeze the intended singular register-shift contract, and establish safe evidence before any code or database change. This execution record does not implement the later backend, frontend, or rollout phases.</w:t>
      </w:r>
    </w:p>
    <w:p>
      <w:pPr>
        <w:pStyle w:val="Heading1"/>
      </w:pPr>
      <w:r>
        <w:t>2. Execution manifest</w:t>
      </w:r>
    </w:p>
    <w:tbl>
      <w:tblPr>
        <w:tblStyle w:val="TableGrid"/>
        <w:tblW w:type="auto" w:w="0"/>
        <w:jc w:val="left"/>
        <w:tblLook w:firstColumn="1" w:firstRow="1" w:lastColumn="0" w:lastRow="0" w:noHBand="0" w:noVBand="1" w:val="04A0"/>
      </w:tblPr>
      <w:tblGrid>
        <w:gridCol w:w="3389"/>
        <w:gridCol w:w="3389"/>
        <w:gridCol w:w="3389"/>
      </w:tblGrid>
      <w:tr>
        <w:trPr>
          <w:tblHeader w:val="true"/>
        </w:trPr>
        <w:tc>
          <w:tcPr>
            <w:tcW w:type="dxa" w:w="3389"/>
            <w:vAlign w:val="center"/>
            <w:shd w:fill="D9EAF7"/>
          </w:tcPr>
          <w:p>
            <w:r/>
            <w:r>
              <w:rPr>
                <w:b/>
                <w:color w:val="1F4E79"/>
                <w:sz w:val="18"/>
              </w:rPr>
              <w:t>Requirement group</w:t>
            </w:r>
          </w:p>
        </w:tc>
        <w:tc>
          <w:tcPr>
            <w:tcW w:type="dxa" w:w="3389"/>
            <w:vAlign w:val="center"/>
            <w:shd w:fill="D9EAF7"/>
          </w:tcPr>
          <w:p>
            <w:r/>
            <w:r>
              <w:rPr>
                <w:b/>
                <w:color w:val="1F4E79"/>
                <w:sz w:val="18"/>
              </w:rPr>
              <w:t>Section 01 result</w:t>
            </w:r>
          </w:p>
        </w:tc>
        <w:tc>
          <w:tcPr>
            <w:tcW w:type="dxa" w:w="3389"/>
            <w:vAlign w:val="center"/>
            <w:shd w:fill="D9EAF7"/>
          </w:tcPr>
          <w:p>
            <w:r/>
            <w:r>
              <w:rPr>
                <w:b/>
                <w:color w:val="1F4E79"/>
                <w:sz w:val="18"/>
              </w:rPr>
              <w:t>Evidence / next action</w:t>
            </w:r>
          </w:p>
        </w:tc>
      </w:tr>
      <w:tr>
        <w:tc>
          <w:tcPr>
            <w:tcW w:type="dxa" w:w="3389"/>
            <w:vAlign w:val="center"/>
          </w:tcPr>
          <w:p>
            <w:r/>
            <w:r>
              <w:rPr>
                <w:b w:val="0"/>
                <w:sz w:val="18"/>
              </w:rPr>
              <w:t>RRF-FR-001 to RRF-FR-006</w:t>
            </w:r>
          </w:p>
        </w:tc>
        <w:tc>
          <w:tcPr>
            <w:tcW w:type="dxa" w:w="3389"/>
            <w:vAlign w:val="center"/>
          </w:tcPr>
          <w:p>
            <w:r/>
            <w:r>
              <w:rPr>
                <w:b w:val="0"/>
                <w:sz w:val="18"/>
              </w:rPr>
              <w:t>BLOCKED for implementation</w:t>
            </w:r>
          </w:p>
        </w:tc>
        <w:tc>
          <w:tcPr>
            <w:tcW w:type="dxa" w:w="3389"/>
            <w:vAlign w:val="center"/>
          </w:tcPr>
          <w:p>
            <w:r/>
            <w:r>
              <w:rPr>
                <w:b w:val="0"/>
                <w:sz w:val="18"/>
              </w:rPr>
              <w:t>Current grouped response and export path confirmed; implementation waits for Phase 347 reconciliation and Section 03 contract fixtures.</w:t>
            </w:r>
          </w:p>
        </w:tc>
      </w:tr>
      <w:tr>
        <w:tc>
          <w:tcPr>
            <w:tcW w:type="dxa" w:w="3389"/>
            <w:vAlign w:val="center"/>
          </w:tcPr>
          <w:p>
            <w:r/>
            <w:r>
              <w:rPr>
                <w:b w:val="0"/>
                <w:sz w:val="18"/>
              </w:rPr>
              <w:t>RRF-BR-001 to RRF-BR-008</w:t>
            </w:r>
          </w:p>
        </w:tc>
        <w:tc>
          <w:tcPr>
            <w:tcW w:type="dxa" w:w="3389"/>
            <w:vAlign w:val="center"/>
          </w:tcPr>
          <w:p>
            <w:r/>
            <w:r>
              <w:rPr>
                <w:b w:val="0"/>
                <w:sz w:val="18"/>
              </w:rPr>
              <w:t>CONTRACT FROZEN</w:t>
            </w:r>
          </w:p>
        </w:tc>
        <w:tc>
          <w:tcPr>
            <w:tcW w:type="dxa" w:w="3389"/>
            <w:vAlign w:val="center"/>
          </w:tcPr>
          <w:p>
            <w:r/>
            <w:r>
              <w:rPr>
                <w:b w:val="0"/>
                <w:sz w:val="18"/>
              </w:rPr>
              <w:t>ADR 0073 drawer-lifecycle rules and plan business rules recorded; no historical write-back permitted.</w:t>
            </w:r>
          </w:p>
        </w:tc>
      </w:tr>
      <w:tr>
        <w:tc>
          <w:tcPr>
            <w:tcW w:type="dxa" w:w="3389"/>
            <w:vAlign w:val="center"/>
          </w:tcPr>
          <w:p>
            <w:r/>
            <w:r>
              <w:rPr>
                <w:b w:val="0"/>
                <w:sz w:val="18"/>
              </w:rPr>
              <w:t>RRF-DATA-001 to RRF-DATA-006</w:t>
            </w:r>
          </w:p>
        </w:tc>
        <w:tc>
          <w:tcPr>
            <w:tcW w:type="dxa" w:w="3389"/>
            <w:vAlign w:val="center"/>
          </w:tcPr>
          <w:p>
            <w:r/>
            <w:r>
              <w:rPr>
                <w:b w:val="0"/>
                <w:sz w:val="18"/>
              </w:rPr>
              <w:t>PARTIALLY VERIFIED</w:t>
            </w:r>
          </w:p>
        </w:tc>
        <w:tc>
          <w:tcPr>
            <w:tcW w:type="dxa" w:w="3389"/>
            <w:vAlign w:val="center"/>
          </w:tcPr>
          <w:p>
            <w:r/>
            <w:r>
              <w:rPr>
                <w:b w:val="0"/>
                <w:sz w:val="18"/>
              </w:rPr>
              <w:t>Per-shift source and grouped response path inspected; exact staging payload is still required.</w:t>
            </w:r>
          </w:p>
        </w:tc>
      </w:tr>
      <w:tr>
        <w:tc>
          <w:tcPr>
            <w:tcW w:type="dxa" w:w="3389"/>
            <w:vAlign w:val="center"/>
          </w:tcPr>
          <w:p>
            <w:r/>
            <w:r>
              <w:rPr>
                <w:b w:val="0"/>
                <w:sz w:val="18"/>
              </w:rPr>
              <w:t>RRF-SEC-001 to RRF-SEC-004</w:t>
            </w:r>
          </w:p>
        </w:tc>
        <w:tc>
          <w:tcPr>
            <w:tcW w:type="dxa" w:w="3389"/>
            <w:vAlign w:val="center"/>
          </w:tcPr>
          <w:p>
            <w:r/>
            <w:r>
              <w:rPr>
                <w:b w:val="0"/>
                <w:sz w:val="18"/>
              </w:rPr>
              <w:t>BASELINE VERIFIED</w:t>
            </w:r>
          </w:p>
        </w:tc>
        <w:tc>
          <w:tcPr>
            <w:tcW w:type="dxa" w:w="3389"/>
            <w:vAlign w:val="center"/>
          </w:tcPr>
          <w:p>
            <w:r/>
            <w:r>
              <w:rPr>
                <w:b w:val="0"/>
                <w:sz w:val="18"/>
              </w:rPr>
              <w:t>Existing scoped reports path and architecture boundaries inspected; authenticated cross-scope tests belong to Section 05.</w:t>
            </w:r>
          </w:p>
        </w:tc>
      </w:tr>
      <w:tr>
        <w:tc>
          <w:tcPr>
            <w:tcW w:type="dxa" w:w="3389"/>
            <w:vAlign w:val="center"/>
          </w:tcPr>
          <w:p>
            <w:r/>
            <w:r>
              <w:rPr>
                <w:b w:val="0"/>
                <w:sz w:val="18"/>
              </w:rPr>
              <w:t>RRF-UI-001 to RRF-UI-005</w:t>
            </w:r>
          </w:p>
        </w:tc>
        <w:tc>
          <w:tcPr>
            <w:tcW w:type="dxa" w:w="3389"/>
            <w:vAlign w:val="center"/>
          </w:tcPr>
          <w:p>
            <w:r/>
            <w:r>
              <w:rPr>
                <w:b w:val="0"/>
                <w:sz w:val="18"/>
              </w:rPr>
              <w:t>BASELINE VERIFIED</w:t>
            </w:r>
          </w:p>
        </w:tc>
        <w:tc>
          <w:tcPr>
            <w:tcW w:type="dxa" w:w="3389"/>
            <w:vAlign w:val="center"/>
          </w:tcPr>
          <w:p>
            <w:r/>
            <w:r>
              <w:rPr>
                <w:b w:val="0"/>
                <w:sz w:val="18"/>
              </w:rPr>
              <w:t>Register table and no-Actions behavior inspected; singular field change is deferred to Section 04.</w:t>
            </w:r>
          </w:p>
        </w:tc>
      </w:tr>
      <w:tr>
        <w:tc>
          <w:tcPr>
            <w:tcW w:type="dxa" w:w="3389"/>
            <w:vAlign w:val="center"/>
          </w:tcPr>
          <w:p>
            <w:r/>
            <w:r>
              <w:rPr>
                <w:b w:val="0"/>
                <w:sz w:val="18"/>
              </w:rPr>
              <w:t>RRF-TEST-001 to RRF-TEST-007</w:t>
            </w:r>
          </w:p>
        </w:tc>
        <w:tc>
          <w:tcPr>
            <w:tcW w:type="dxa" w:w="3389"/>
            <w:vAlign w:val="center"/>
          </w:tcPr>
          <w:p>
            <w:r/>
            <w:r>
              <w:rPr>
                <w:b w:val="0"/>
                <w:sz w:val="18"/>
              </w:rPr>
              <w:t>BASELINE GATES PASS</w:t>
            </w:r>
          </w:p>
        </w:tc>
        <w:tc>
          <w:tcPr>
            <w:tcW w:type="dxa" w:w="3389"/>
            <w:vAlign w:val="center"/>
          </w:tcPr>
          <w:p>
            <w:r/>
            <w:r>
              <w:rPr>
                <w:b w:val="0"/>
                <w:sz w:val="18"/>
              </w:rPr>
              <w:t>Focused backend/frontend tests, architecture, docs, compliance, diff check, and POS build recorded below.</w:t>
            </w:r>
          </w:p>
        </w:tc>
      </w:tr>
    </w:tbl>
    <w:p/>
    <w:p>
      <w:pPr>
        <w:pStyle w:val="Heading1"/>
      </w:pPr>
      <w:r>
        <w:t>3. Baseline evidence</w:t>
      </w:r>
    </w:p>
    <w:tbl>
      <w:tblPr>
        <w:tblStyle w:val="TableGrid"/>
        <w:tblW w:type="auto" w:w="0"/>
        <w:jc w:val="left"/>
        <w:tblLook w:firstColumn="1" w:firstRow="1" w:lastColumn="0" w:lastRow="0" w:noHBand="0" w:noVBand="1" w:val="04A0"/>
      </w:tblPr>
      <w:tblGrid>
        <w:gridCol w:w="3389"/>
        <w:gridCol w:w="3389"/>
        <w:gridCol w:w="3389"/>
      </w:tblGrid>
      <w:tr>
        <w:trPr>
          <w:tblHeader w:val="true"/>
        </w:trPr>
        <w:tc>
          <w:tcPr>
            <w:tcW w:type="dxa" w:w="3389"/>
            <w:vAlign w:val="center"/>
            <w:shd w:fill="D9EAF7"/>
          </w:tcPr>
          <w:p>
            <w:r/>
            <w:r>
              <w:rPr>
                <w:b/>
                <w:color w:val="1F4E79"/>
                <w:sz w:val="18"/>
              </w:rPr>
              <w:t>Gate</w:t>
            </w:r>
          </w:p>
        </w:tc>
        <w:tc>
          <w:tcPr>
            <w:tcW w:type="dxa" w:w="3389"/>
            <w:vAlign w:val="center"/>
            <w:shd w:fill="D9EAF7"/>
          </w:tcPr>
          <w:p>
            <w:r/>
            <w:r>
              <w:rPr>
                <w:b/>
                <w:color w:val="1F4E79"/>
                <w:sz w:val="18"/>
              </w:rPr>
              <w:t>Result</w:t>
            </w:r>
          </w:p>
        </w:tc>
        <w:tc>
          <w:tcPr>
            <w:tcW w:type="dxa" w:w="3389"/>
            <w:vAlign w:val="center"/>
            <w:shd w:fill="D9EAF7"/>
          </w:tcPr>
          <w:p>
            <w:r/>
            <w:r>
              <w:rPr>
                <w:b/>
                <w:color w:val="1F4E79"/>
                <w:sz w:val="18"/>
              </w:rPr>
              <w:t>Evidence</w:t>
            </w:r>
          </w:p>
        </w:tc>
      </w:tr>
      <w:tr>
        <w:tc>
          <w:tcPr>
            <w:tcW w:type="dxa" w:w="3389"/>
            <w:vAlign w:val="center"/>
          </w:tcPr>
          <w:p>
            <w:r/>
            <w:r>
              <w:rPr>
                <w:b w:val="0"/>
                <w:sz w:val="18"/>
              </w:rPr>
              <w:t>Local API health</w:t>
            </w:r>
          </w:p>
        </w:tc>
        <w:tc>
          <w:tcPr>
            <w:tcW w:type="dxa" w:w="3389"/>
            <w:vAlign w:val="center"/>
          </w:tcPr>
          <w:p>
            <w:r/>
            <w:r>
              <w:rPr>
                <w:b w:val="0"/>
                <w:sz w:val="18"/>
              </w:rPr>
              <w:t>PASS</w:t>
            </w:r>
          </w:p>
        </w:tc>
        <w:tc>
          <w:tcPr>
            <w:tcW w:type="dxa" w:w="3389"/>
            <w:vAlign w:val="center"/>
          </w:tcPr>
          <w:p>
            <w:r/>
            <w:r>
              <w:rPr>
                <w:b w:val="0"/>
                <w:sz w:val="18"/>
              </w:rPr>
              <w:t>GET http://127.0.0.1:5000/health returned HTTP 200.</w:t>
            </w:r>
          </w:p>
        </w:tc>
      </w:tr>
      <w:tr>
        <w:tc>
          <w:tcPr>
            <w:tcW w:type="dxa" w:w="3389"/>
            <w:vAlign w:val="center"/>
          </w:tcPr>
          <w:p>
            <w:r/>
            <w:r>
              <w:rPr>
                <w:b w:val="0"/>
                <w:sz w:val="18"/>
              </w:rPr>
              <w:t>Backend focused tests</w:t>
            </w:r>
          </w:p>
        </w:tc>
        <w:tc>
          <w:tcPr>
            <w:tcW w:type="dxa" w:w="3389"/>
            <w:vAlign w:val="center"/>
          </w:tcPr>
          <w:p>
            <w:r/>
            <w:r>
              <w:rPr>
                <w:b w:val="0"/>
                <w:sz w:val="18"/>
              </w:rPr>
              <w:t>PASS</w:t>
            </w:r>
          </w:p>
        </w:tc>
        <w:tc>
          <w:tcPr>
            <w:tcW w:type="dxa" w:w="3389"/>
            <w:vAlign w:val="center"/>
          </w:tcPr>
          <w:p>
            <w:r/>
            <w:r>
              <w:rPr>
                <w:b w:val="0"/>
                <w:sz w:val="18"/>
              </w:rPr>
              <w:t>3 Jest suites; 50 tests passed: posReports.repository, posReports.usecase, posValidator.reportsOverviewQuery.</w:t>
            </w:r>
          </w:p>
        </w:tc>
      </w:tr>
      <w:tr>
        <w:tc>
          <w:tcPr>
            <w:tcW w:type="dxa" w:w="3389"/>
            <w:vAlign w:val="center"/>
          </w:tcPr>
          <w:p>
            <w:r/>
            <w:r>
              <w:rPr>
                <w:b w:val="0"/>
                <w:sz w:val="18"/>
              </w:rPr>
              <w:t>Shared register table test</w:t>
            </w:r>
          </w:p>
        </w:tc>
        <w:tc>
          <w:tcPr>
            <w:tcW w:type="dxa" w:w="3389"/>
            <w:vAlign w:val="center"/>
          </w:tcPr>
          <w:p>
            <w:r/>
            <w:r>
              <w:rPr>
                <w:b w:val="0"/>
                <w:sz w:val="18"/>
              </w:rPr>
              <w:t>PASS</w:t>
            </w:r>
          </w:p>
        </w:tc>
        <w:tc>
          <w:tcPr>
            <w:tcW w:type="dxa" w:w="3389"/>
            <w:vAlign w:val="center"/>
          </w:tcPr>
          <w:p>
            <w:r/>
            <w:r>
              <w:rPr>
                <w:b w:val="0"/>
                <w:sz w:val="18"/>
              </w:rPr>
              <w:t>1 Vitest file; 2 tests passed, run from apps/dgfy-ims as required for packages/web-core.</w:t>
            </w:r>
          </w:p>
        </w:tc>
      </w:tr>
      <w:tr>
        <w:tc>
          <w:tcPr>
            <w:tcW w:type="dxa" w:w="3389"/>
            <w:vAlign w:val="center"/>
          </w:tcPr>
          <w:p>
            <w:r/>
            <w:r>
              <w:rPr>
                <w:b w:val="0"/>
                <w:sz w:val="18"/>
              </w:rPr>
              <w:t>Architecture checks</w:t>
            </w:r>
          </w:p>
        </w:tc>
        <w:tc>
          <w:tcPr>
            <w:tcW w:type="dxa" w:w="3389"/>
            <w:vAlign w:val="center"/>
          </w:tcPr>
          <w:p>
            <w:r/>
            <w:r>
              <w:rPr>
                <w:b w:val="0"/>
                <w:sz w:val="18"/>
              </w:rPr>
              <w:t>PASS</w:t>
            </w:r>
          </w:p>
        </w:tc>
        <w:tc>
          <w:tcPr>
            <w:tcW w:type="dxa" w:w="3389"/>
            <w:vAlign w:val="center"/>
          </w:tcPr>
          <w:p>
            <w:r/>
            <w:r>
              <w:rPr>
                <w:b w:val="0"/>
                <w:sz w:val="18"/>
              </w:rPr>
              <w:t>Architecture guardrails: 55 modules and 617 code files; controller boundaries: 101 files.</w:t>
            </w:r>
          </w:p>
        </w:tc>
      </w:tr>
      <w:tr>
        <w:tc>
          <w:tcPr>
            <w:tcW w:type="dxa" w:w="3389"/>
            <w:vAlign w:val="center"/>
          </w:tcPr>
          <w:p>
            <w:r/>
            <w:r>
              <w:rPr>
                <w:b w:val="0"/>
                <w:sz w:val="18"/>
              </w:rPr>
              <w:t>Documentation and ADR checks</w:t>
            </w:r>
          </w:p>
        </w:tc>
        <w:tc>
          <w:tcPr>
            <w:tcW w:type="dxa" w:w="3389"/>
            <w:vAlign w:val="center"/>
          </w:tcPr>
          <w:p>
            <w:r/>
            <w:r>
              <w:rPr>
                <w:b w:val="0"/>
                <w:sz w:val="18"/>
              </w:rPr>
              <w:t>PASS</w:t>
            </w:r>
          </w:p>
        </w:tc>
        <w:tc>
          <w:tcPr>
            <w:tcW w:type="dxa" w:w="3389"/>
            <w:vAlign w:val="center"/>
          </w:tcPr>
          <w:p>
            <w:r/>
            <w:r>
              <w:rPr>
                <w:b w:val="0"/>
                <w:sz w:val="18"/>
              </w:rPr>
              <w:t>30 governed docs and 92 ADRs validated.</w:t>
            </w:r>
          </w:p>
        </w:tc>
      </w:tr>
      <w:tr>
        <w:tc>
          <w:tcPr>
            <w:tcW w:type="dxa" w:w="3389"/>
            <w:vAlign w:val="center"/>
          </w:tcPr>
          <w:p>
            <w:r/>
            <w:r>
              <w:rPr>
                <w:b w:val="0"/>
                <w:sz w:val="18"/>
              </w:rPr>
              <w:t>Compliance check</w:t>
            </w:r>
          </w:p>
        </w:tc>
        <w:tc>
          <w:tcPr>
            <w:tcW w:type="dxa" w:w="3389"/>
            <w:vAlign w:val="center"/>
          </w:tcPr>
          <w:p>
            <w:r/>
            <w:r>
              <w:rPr>
                <w:b w:val="0"/>
                <w:sz w:val="18"/>
              </w:rPr>
              <w:t>PASS</w:t>
            </w:r>
          </w:p>
        </w:tc>
        <w:tc>
          <w:tcPr>
            <w:tcW w:type="dxa" w:w="3389"/>
            <w:vAlign w:val="center"/>
          </w:tcPr>
          <w:p>
            <w:r/>
            <w:r>
              <w:rPr>
                <w:b w:val="0"/>
                <w:sz w:val="18"/>
              </w:rPr>
              <w:t>37 sensitive files checked; existing 2026-09-28 declarations validated.</w:t>
            </w:r>
          </w:p>
        </w:tc>
      </w:tr>
      <w:tr>
        <w:tc>
          <w:tcPr>
            <w:tcW w:type="dxa" w:w="3389"/>
            <w:vAlign w:val="center"/>
          </w:tcPr>
          <w:p>
            <w:r/>
            <w:r>
              <w:rPr>
                <w:b w:val="0"/>
                <w:sz w:val="18"/>
              </w:rPr>
              <w:t>POS production build</w:t>
            </w:r>
          </w:p>
        </w:tc>
        <w:tc>
          <w:tcPr>
            <w:tcW w:type="dxa" w:w="3389"/>
            <w:vAlign w:val="center"/>
          </w:tcPr>
          <w:p>
            <w:r/>
            <w:r>
              <w:rPr>
                <w:b w:val="0"/>
                <w:sz w:val="18"/>
              </w:rPr>
              <w:t>PASS WITH WARNINGS</w:t>
            </w:r>
          </w:p>
        </w:tc>
        <w:tc>
          <w:tcPr>
            <w:tcW w:type="dxa" w:w="3389"/>
            <w:vAlign w:val="center"/>
          </w:tcPr>
          <w:p>
            <w:r/>
            <w:r>
              <w:rPr>
                <w:b w:val="0"/>
                <w:sz w:val="18"/>
              </w:rPr>
              <w:t>3,098 modules transformed; build completed. Existing chunk-size and dynamic-import warnings remain.</w:t>
            </w:r>
          </w:p>
        </w:tc>
      </w:tr>
      <w:tr>
        <w:tc>
          <w:tcPr>
            <w:tcW w:type="dxa" w:w="3389"/>
            <w:vAlign w:val="center"/>
          </w:tcPr>
          <w:p>
            <w:r/>
            <w:r>
              <w:rPr>
                <w:b w:val="0"/>
                <w:sz w:val="18"/>
              </w:rPr>
              <w:t>Diff safety</w:t>
            </w:r>
          </w:p>
        </w:tc>
        <w:tc>
          <w:tcPr>
            <w:tcW w:type="dxa" w:w="3389"/>
            <w:vAlign w:val="center"/>
          </w:tcPr>
          <w:p>
            <w:r/>
            <w:r>
              <w:rPr>
                <w:b w:val="0"/>
                <w:sz w:val="18"/>
              </w:rPr>
              <w:t>PASS</w:t>
            </w:r>
          </w:p>
        </w:tc>
        <w:tc>
          <w:tcPr>
            <w:tcW w:type="dxa" w:w="3389"/>
            <w:vAlign w:val="center"/>
          </w:tcPr>
          <w:p>
            <w:r/>
            <w:r>
              <w:rPr>
                <w:b w:val="0"/>
                <w:sz w:val="18"/>
              </w:rPr>
              <w:t>git diff --check returned no whitespace errors at baseline.</w:t>
            </w:r>
          </w:p>
        </w:tc>
      </w:tr>
    </w:tbl>
    <w:p/>
    <w:p>
      <w:pPr>
        <w:pStyle w:val="Heading1"/>
      </w:pPr>
      <w:r>
        <w:t>4. Read-only data audit</w:t>
      </w:r>
    </w:p>
    <w:p>
      <w:r>
        <w:t>A read-only audit used the local landlord database and each active local tenant database. The audit issued only SELECT and SHOW statements and closed every connection after inspection.</w:t>
      </w:r>
    </w:p>
    <w:tbl>
      <w:tblPr>
        <w:tblStyle w:val="TableGrid"/>
        <w:tblW w:type="auto" w:w="0"/>
        <w:jc w:val="left"/>
        <w:tblLook w:firstColumn="1" w:firstRow="1" w:lastColumn="0" w:lastRow="0" w:noHBand="0" w:noVBand="1" w:val="04A0"/>
      </w:tblPr>
      <w:tblGrid>
        <w:gridCol w:w="5083"/>
        <w:gridCol w:w="5083"/>
      </w:tblGrid>
      <w:tr>
        <w:trPr>
          <w:tblHeader w:val="true"/>
        </w:trPr>
        <w:tc>
          <w:tcPr>
            <w:tcW w:type="dxa" w:w="5083"/>
            <w:vAlign w:val="center"/>
            <w:shd w:fill="D9EAF7"/>
          </w:tcPr>
          <w:p>
            <w:r/>
            <w:r>
              <w:rPr>
                <w:b/>
                <w:color w:val="1F4E79"/>
                <w:sz w:val="18"/>
              </w:rPr>
              <w:t>Metric</w:t>
            </w:r>
          </w:p>
        </w:tc>
        <w:tc>
          <w:tcPr>
            <w:tcW w:type="dxa" w:w="5083"/>
            <w:vAlign w:val="center"/>
            <w:shd w:fill="D9EAF7"/>
          </w:tcPr>
          <w:p>
            <w:r/>
            <w:r>
              <w:rPr>
                <w:b/>
                <w:color w:val="1F4E79"/>
                <w:sz w:val="18"/>
              </w:rPr>
              <w:t>Observed result</w:t>
            </w:r>
          </w:p>
        </w:tc>
      </w:tr>
      <w:tr>
        <w:tc>
          <w:tcPr>
            <w:tcW w:type="dxa" w:w="5083"/>
            <w:vAlign w:val="center"/>
          </w:tcPr>
          <w:p>
            <w:r/>
            <w:r>
              <w:rPr>
                <w:b w:val="0"/>
                <w:sz w:val="18"/>
              </w:rPr>
              <w:t>Active tenant databases scanned</w:t>
            </w:r>
          </w:p>
        </w:tc>
        <w:tc>
          <w:tcPr>
            <w:tcW w:type="dxa" w:w="5083"/>
            <w:vAlign w:val="center"/>
          </w:tcPr>
          <w:p>
            <w:r/>
            <w:r>
              <w:rPr>
                <w:b w:val="0"/>
                <w:sz w:val="18"/>
              </w:rPr>
              <w:t>15</w:t>
            </w:r>
          </w:p>
        </w:tc>
      </w:tr>
      <w:tr>
        <w:tc>
          <w:tcPr>
            <w:tcW w:type="dxa" w:w="5083"/>
            <w:vAlign w:val="center"/>
          </w:tcPr>
          <w:p>
            <w:r/>
            <w:r>
              <w:rPr>
                <w:b w:val="0"/>
                <w:sz w:val="18"/>
              </w:rPr>
              <w:t>Tenant databases with pos_terminal_shifts</w:t>
            </w:r>
          </w:p>
        </w:tc>
        <w:tc>
          <w:tcPr>
            <w:tcW w:type="dxa" w:w="5083"/>
            <w:vAlign w:val="center"/>
          </w:tcPr>
          <w:p>
            <w:r/>
            <w:r>
              <w:rPr>
                <w:b w:val="0"/>
                <w:sz w:val="18"/>
              </w:rPr>
              <w:t>15</w:t>
            </w:r>
          </w:p>
        </w:tc>
      </w:tr>
      <w:tr>
        <w:tc>
          <w:tcPr>
            <w:tcW w:type="dxa" w:w="5083"/>
            <w:vAlign w:val="center"/>
          </w:tcPr>
          <w:p>
            <w:r/>
            <w:r>
              <w:rPr>
                <w:b w:val="0"/>
                <w:sz w:val="18"/>
              </w:rPr>
              <w:t>Tenant databases with shift rows</w:t>
            </w:r>
          </w:p>
        </w:tc>
        <w:tc>
          <w:tcPr>
            <w:tcW w:type="dxa" w:w="5083"/>
            <w:vAlign w:val="center"/>
          </w:tcPr>
          <w:p>
            <w:r/>
            <w:r>
              <w:rPr>
                <w:b w:val="0"/>
                <w:sz w:val="18"/>
              </w:rPr>
              <w:t>9</w:t>
            </w:r>
          </w:p>
        </w:tc>
      </w:tr>
      <w:tr>
        <w:tc>
          <w:tcPr>
            <w:tcW w:type="dxa" w:w="5083"/>
            <w:vAlign w:val="center"/>
          </w:tcPr>
          <w:p>
            <w:r/>
            <w:r>
              <w:rPr>
                <w:b w:val="0"/>
                <w:sz w:val="18"/>
              </w:rPr>
              <w:t>Shifts inspected</w:t>
            </w:r>
          </w:p>
        </w:tc>
        <w:tc>
          <w:tcPr>
            <w:tcW w:type="dxa" w:w="5083"/>
            <w:vAlign w:val="center"/>
          </w:tcPr>
          <w:p>
            <w:r/>
            <w:r>
              <w:rPr>
                <w:b w:val="0"/>
                <w:sz w:val="18"/>
              </w:rPr>
              <w:t>174</w:t>
            </w:r>
          </w:p>
        </w:tc>
      </w:tr>
      <w:tr>
        <w:tc>
          <w:tcPr>
            <w:tcW w:type="dxa" w:w="5083"/>
            <w:vAlign w:val="center"/>
          </w:tcPr>
          <w:p>
            <w:r/>
            <w:r>
              <w:rPr>
                <w:b w:val="0"/>
                <w:sz w:val="18"/>
              </w:rPr>
              <w:t>Closed / open shifts</w:t>
            </w:r>
          </w:p>
        </w:tc>
        <w:tc>
          <w:tcPr>
            <w:tcW w:type="dxa" w:w="5083"/>
            <w:vAlign w:val="center"/>
          </w:tcPr>
          <w:p>
            <w:r/>
            <w:r>
              <w:rPr>
                <w:b w:val="0"/>
                <w:sz w:val="18"/>
              </w:rPr>
              <w:t>168 / 6</w:t>
            </w:r>
          </w:p>
        </w:tc>
      </w:tr>
      <w:tr>
        <w:tc>
          <w:tcPr>
            <w:tcW w:type="dxa" w:w="5083"/>
            <w:vAlign w:val="center"/>
          </w:tcPr>
          <w:p>
            <w:r/>
            <w:r>
              <w:rPr>
                <w:b w:val="0"/>
                <w:sz w:val="18"/>
              </w:rPr>
              <w:t>Stored-versus-derived mismatch rows</w:t>
            </w:r>
          </w:p>
        </w:tc>
        <w:tc>
          <w:tcPr>
            <w:tcW w:type="dxa" w:w="5083"/>
            <w:vAlign w:val="center"/>
          </w:tcPr>
          <w:p>
            <w:r/>
            <w:r>
              <w:rPr>
                <w:b w:val="0"/>
                <w:sz w:val="18"/>
              </w:rPr>
              <w:t>0</w:t>
            </w:r>
          </w:p>
        </w:tc>
      </w:tr>
      <w:tr>
        <w:tc>
          <w:tcPr>
            <w:tcW w:type="dxa" w:w="5083"/>
            <w:vAlign w:val="center"/>
          </w:tcPr>
          <w:p>
            <w:r/>
            <w:r>
              <w:rPr>
                <w:b w:val="0"/>
                <w:sz w:val="18"/>
              </w:rPr>
              <w:t>Screenshot exact aggregate found locally</w:t>
            </w:r>
          </w:p>
        </w:tc>
        <w:tc>
          <w:tcPr>
            <w:tcW w:type="dxa" w:w="5083"/>
            <w:vAlign w:val="center"/>
          </w:tcPr>
          <w:p>
            <w:r/>
            <w:r>
              <w:rPr>
                <w:b w:val="0"/>
                <w:sz w:val="18"/>
              </w:rPr>
              <w:t>No</w:t>
            </w:r>
          </w:p>
        </w:tc>
      </w:tr>
      <w:tr>
        <w:tc>
          <w:tcPr>
            <w:tcW w:type="dxa" w:w="5083"/>
            <w:vAlign w:val="center"/>
          </w:tcPr>
          <w:p>
            <w:r/>
            <w:r>
              <w:rPr>
                <w:b w:val="0"/>
                <w:sz w:val="18"/>
              </w:rPr>
              <w:t>Writes, closes, events, or historical updates</w:t>
            </w:r>
          </w:p>
        </w:tc>
        <w:tc>
          <w:tcPr>
            <w:tcW w:type="dxa" w:w="5083"/>
            <w:vAlign w:val="center"/>
          </w:tcPr>
          <w:p>
            <w:r/>
            <w:r>
              <w:rPr>
                <w:b w:val="0"/>
                <w:sz w:val="18"/>
              </w:rPr>
              <w:t>None - read-only audit</w:t>
            </w:r>
          </w:p>
        </w:tc>
      </w:tr>
    </w:tbl>
    <w:p/>
    <w:p>
      <w:r>
        <w:t>The local audit is useful baseline evidence but is not staging proof. The screenshot values and exact date filters were not present in the local tenant data, so the screenshot cause cannot be conclusively classified from local data alone.</w:t>
      </w:r>
    </w:p>
    <w:p>
      <w:pPr>
        <w:pStyle w:val="Heading1"/>
      </w:pPr>
      <w:r>
        <w:t>5. Current flow and target contract</w:t>
      </w:r>
    </w:p>
    <w:p>
      <w:pPr>
        <w:pStyle w:val="ListBullet"/>
      </w:pPr>
      <w:r>
        <w:t>Current flow: reports overview usecase -&gt; loadReportCashierReconciliation -&gt; buildReportShiftMoney -&gt; cashier_id grouping -&gt; loadCashierLifecycleReport -&gt; cashier_lifecycle.registers -&gt; PosReportsRegistersTable and export.</w:t>
      </w:r>
    </w:p>
    <w:p>
      <w:pPr>
        <w:pStyle w:val="ListBullet"/>
      </w:pPr>
      <w:r>
        <w:t>Current defect: the repository preserves per-shift records temporarily, then groups them by cashier_id, appends shift_ids, sums expected and closing values, and separately sums persisted variance.</w:t>
      </w:r>
    </w:p>
    <w:p>
      <w:pPr>
        <w:pStyle w:val="ListBullet"/>
      </w:pPr>
      <w:r>
        <w:t>Current UI defect: PosReportsRegistersTable accepts shift_ids and joins them with commas; status is derived from the backend variance value.</w:t>
      </w:r>
    </w:p>
    <w:p>
      <w:pPr>
        <w:pStyle w:val="ListBullet"/>
      </w:pPr>
      <w:r>
        <w:t>Current export defect: the registers export maps shift_ids into one Shift IDs CSV cell, so the defect is not browser-only.</w:t>
      </w:r>
    </w:p>
    <w:p>
      <w:pPr>
        <w:pStyle w:val="ListBullet"/>
      </w:pPr>
      <w:r>
        <w:t>Target contract: one register row per pos_terminal_shift_id with singular shift_id; variance is round4(counted - expected) when both exist and null when counted is missing; open rows have no displayed variance; cashier aggregates remain separate.</w:t>
      </w:r>
    </w:p>
    <w:p>
      <w:pPr>
        <w:pStyle w:val="ListBullet"/>
      </w:pPr>
      <w:r>
        <w:t>Historical safety: no shift, transaction, cash event, handoff, or stored variance record is rewritten by this report correction.</w:t>
      </w:r>
    </w:p>
    <w:p>
      <w:pPr>
        <w:pStyle w:val="Heading1"/>
      </w:pPr>
      <w:r>
        <w:t>6. Blocker and next eligible action</w:t>
      </w:r>
    </w:p>
    <w:p>
      <w:r>
        <w:t>Section 01 cannot be marked fully verified because the authorized staging API response for the screenshot filters was not available in this local execution, and the exact staging date range was not included in the plan package. Global Phase 347 is also still marked in_progress in the authoritative phase ledger. These are external execution dependencies, not a code failure.</w:t>
      </w:r>
    </w:p>
    <w:p>
      <w:pPr>
        <w:pStyle w:val="ListBullet"/>
      </w:pPr>
      <w:r>
        <w:t>Required unblock: reconcile or complete global Phase 347 before starting global Phase 348 implementation.</w:t>
      </w:r>
    </w:p>
    <w:p>
      <w:pPr>
        <w:pStyle w:val="ListBullet"/>
      </w:pPr>
      <w:r>
        <w:t>Required evidence: capture the authorized staging overview response and read-only shift audit for the screenshot filters.</w:t>
      </w:r>
    </w:p>
    <w:p>
      <w:pPr>
        <w:pStyle w:val="ListBullet"/>
      </w:pPr>
      <w:r>
        <w:t>After unblock: execute RRF-02 only after the singular response contract is confirmed; do not change source code as part of this Section 01 record.</w:t>
      </w:r>
    </w:p>
    <w:p>
      <w:pPr>
        <w:pStyle w:val="Heading1"/>
      </w:pPr>
      <w:r>
        <w:t>7. Final status</w:t>
      </w:r>
    </w:p>
    <w:p>
      <w:r>
        <w:t>PARTIALLY COMPLETE - BLOCKED. The current defect and code path are confirmed, the target flow is frozen, baseline gates pass, and the local audit is no-write. Exact staging reproduction and implementation remain blocked by the documented dependencies.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