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POS Reports Analytics Expansion Plan</w:t>
      </w:r>
    </w:p>
    <w:p>
      <w:pPr>
        <w:spacing w:after="180"/>
      </w:pPr>
      <w:r>
        <w:rPr>
          <w:i/>
          <w:color w:val="505050"/>
          <w:sz w:val="21"/>
        </w:rPr>
        <w:t>Master plan index for Hourly Sales, Item Sales, and Sales by Category inside POS Reports</w:t>
      </w:r>
    </w:p>
    <w:p>
      <w:r>
        <w:t>Prepared: 2026-09-28 | Plan version: 1.0 | Branch: StagingPOS | Baseline commit: cccf6a942e7ba51e3ffaa9ff405f785cf13e389a</w:t>
      </w:r>
    </w:p>
    <w:p>
      <w:r>
        <w:t>This is a planning artifact only. It records the repository-grounded design and verification path; it does not modify application code, database schema, branch history, or deployment state.</w:t>
      </w:r>
    </w:p>
    <w:p>
      <w:pPr>
        <w:pStyle w:val="Heading1"/>
      </w:pPr>
      <w:r>
        <w:t>Original Request</w:t>
      </w:r>
    </w:p>
    <w:p>
      <w:r>
        <w:t>Create a plan for Hourly sales report, Item Sales report, and sales per categories inside the existing Report area, using the plan-creator skill.</w:t>
      </w:r>
    </w:p>
    <w:p>
      <w:pPr>
        <w:pStyle w:val="Heading1"/>
      </w:pPr>
      <w:r>
        <w:t>Final Objective</w:t>
      </w:r>
    </w:p>
    <w:p>
      <w:r>
        <w:t>Extend the existing POS Reports workspace with three read-only analytics views that use the same tenant, branch, cashier, date, source, payment, item, void/refund, and financial semantics already used by POS reports. The views must be exportable, testable, responsive, and safe for historical data.</w:t>
      </w:r>
    </w:p>
    <w:p>
      <w:pPr>
        <w:pStyle w:val="Heading1"/>
      </w:pPr>
      <w:r>
        <w:t>Repository Baseline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083"/>
        <w:gridCol w:w="5083"/>
      </w:tblGrid>
      <w:tr>
        <w:tc>
          <w:tcPr>
            <w:tcW w:type="dxa" w:w="2376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8424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Confirmed baseline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Workspace</w:t>
            </w:r>
          </w:p>
        </w:tc>
        <w:tc>
          <w:tcPr>
            <w:tcW w:type="dxa" w:w="84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C:\xampp\htdocs\POS-DGFY\.worktrees\StagingPOS</w:t>
            </w:r>
          </w:p>
        </w:tc>
      </w:tr>
      <w:tr>
        <w:tc>
          <w:tcPr>
            <w:tcW w:type="dxa" w:w="2376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Branch and commit</w:t>
            </w:r>
          </w:p>
        </w:tc>
        <w:tc>
          <w:tcPr>
            <w:tcW w:type="dxa" w:w="8424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StagingPOS at cccf6a942e7ba51e3ffaa9ff405f785cf13e389a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Frontend</w:t>
            </w:r>
          </w:p>
        </w:tc>
        <w:tc>
          <w:tcPr>
            <w:tcW w:type="dxa" w:w="84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packages/web-core shared POS report workspace; apps/dgfy-pos consumes it; shared tests run through apps/dgfy-ims</w:t>
            </w:r>
          </w:p>
        </w:tc>
      </w:tr>
      <w:tr>
        <w:tc>
          <w:tcPr>
            <w:tcW w:type="dxa" w:w="2376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Backend</w:t>
            </w:r>
          </w:p>
        </w:tc>
        <w:tc>
          <w:tcPr>
            <w:tcW w:type="dxa" w:w="8424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apps/dgfy-api POS route/controller/usecase/repository path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Current reporting API</w:t>
            </w:r>
          </w:p>
        </w:tc>
        <w:tc>
          <w:tcPr>
            <w:tcW w:type="dxa" w:w="84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 /pos/reports/overview and GET /pos/reports/export</w:t>
            </w:r>
          </w:p>
        </w:tc>
      </w:tr>
      <w:tr>
        <w:tc>
          <w:tcPr>
            <w:tcW w:type="dxa" w:w="2376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Current gaps</w:t>
            </w:r>
          </w:p>
        </w:tc>
        <w:tc>
          <w:tcPr>
            <w:tcW w:type="dxa" w:w="8424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hourly granularity; current item view is top-N only; no grouped category sales report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Architecture check</w:t>
            </w:r>
          </w:p>
        </w:tc>
        <w:tc>
          <w:tcPr>
            <w:tcW w:type="dxa" w:w="84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npm run check:architecture passed: ArchitectureGuardrails and ControllerBoundary OK</w:t>
            </w:r>
          </w:p>
        </w:tc>
      </w:tr>
    </w:tbl>
    <w:p>
      <w:pPr>
        <w:spacing w:after="20"/>
      </w:pPr>
    </w:p>
    <w:p>
      <w:pPr>
        <w:pStyle w:val="Heading1"/>
      </w:pPr>
      <w:r>
        <w:t>Authoritative Reading Order</w:t>
      </w:r>
    </w:p>
    <w:p>
      <w:pPr>
        <w:pStyle w:val="ListNumber"/>
      </w:pPr>
      <w:r>
        <w:t>01 Objective Current State and Flow</w:t>
      </w:r>
    </w:p>
    <w:p>
      <w:pPr>
        <w:pStyle w:val="ListNumber"/>
      </w:pPr>
      <w:r>
        <w:t>02 Requirements and Business Rules</w:t>
      </w:r>
    </w:p>
    <w:p>
      <w:pPr>
        <w:pStyle w:val="ListNumber"/>
      </w:pPr>
      <w:r>
        <w:t>03 Backend Data and API Plan</w:t>
      </w:r>
    </w:p>
    <w:p>
      <w:pPr>
        <w:pStyle w:val="ListNumber"/>
      </w:pPr>
      <w:r>
        <w:t>04 Frontend Report UI and Export Plan</w:t>
      </w:r>
    </w:p>
    <w:p>
      <w:pPr>
        <w:pStyle w:val="ListNumber"/>
      </w:pPr>
      <w:r>
        <w:t>05 Testing Security Performance and Evidence</w:t>
      </w:r>
    </w:p>
    <w:p>
      <w:pPr>
        <w:pStyle w:val="ListNumber"/>
      </w:pPr>
      <w:r>
        <w:t>06 Implementation Rollout Rollback and Risks</w:t>
      </w:r>
    </w:p>
    <w:p>
      <w:r>
        <w:t>Read this index first, then execute the numbered sections in order. Section 03 establishes the response contract before Section 04 maps it into UI.</w:t>
      </w:r>
    </w:p>
    <w:p>
      <w:pPr>
        <w:pStyle w:val="Heading1"/>
      </w:pPr>
      <w:r>
        <w:t>Document Dependency Map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389"/>
        <w:gridCol w:w="3389"/>
        <w:gridCol w:w="3389"/>
      </w:tblGrid>
      <w:tr>
        <w:tc>
          <w:tcPr>
            <w:tcW w:type="dxa" w:w="108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Depends on</w:t>
            </w:r>
          </w:p>
        </w:tc>
        <w:tc>
          <w:tcPr>
            <w:tcW w:type="dxa" w:w="54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Produces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01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Repository and architecture baseline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Current/target flow and scope boundaries</w:t>
            </w:r>
          </w:p>
        </w:tc>
      </w:tr>
      <w:tr>
        <w:tc>
          <w:tcPr>
            <w:tcW w:type="dxa" w:w="1080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02</w:t>
            </w:r>
          </w:p>
        </w:tc>
        <w:tc>
          <w:tcPr>
            <w:tcW w:type="dxa" w:w="4320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01 plus existing permission and financial semantics</w:t>
            </w:r>
          </w:p>
        </w:tc>
        <w:tc>
          <w:tcPr>
            <w:tcW w:type="dxa" w:w="5400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Numbered requirements and business rules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03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01-02 plus POS repository and route evidence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Backend contract, aggregation design, data and permission behavior</w:t>
            </w:r>
          </w:p>
        </w:tc>
      </w:tr>
      <w:tr>
        <w:tc>
          <w:tcPr>
            <w:tcW w:type="dxa" w:w="1080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04</w:t>
            </w:r>
          </w:p>
        </w:tc>
        <w:tc>
          <w:tcPr>
            <w:tcW w:type="dxa" w:w="4320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02-03 plus current shared frontend components</w:t>
            </w:r>
          </w:p>
        </w:tc>
        <w:tc>
          <w:tcPr>
            <w:tcW w:type="dxa" w:w="5400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UI information architecture, state, export, accessibility and offline behavior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05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02-04 plus existing tests/UAT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Verification matrix, test cases, evidence and quality gates</w:t>
            </w:r>
          </w:p>
        </w:tc>
      </w:tr>
      <w:tr>
        <w:tc>
          <w:tcPr>
            <w:tcW w:type="dxa" w:w="1080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06</w:t>
            </w:r>
          </w:p>
        </w:tc>
        <w:tc>
          <w:tcPr>
            <w:tcW w:type="dxa" w:w="4320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01-05 plus release policy</w:t>
            </w:r>
          </w:p>
        </w:tc>
        <w:tc>
          <w:tcPr>
            <w:tcW w:type="dxa" w:w="5400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Implementation sequence, rollout, rollback, monitoring and risk controls</w:t>
            </w:r>
          </w:p>
        </w:tc>
      </w:tr>
    </w:tbl>
    <w:p>
      <w:pPr>
        <w:spacing w:after="20"/>
      </w:pPr>
    </w:p>
    <w:p>
      <w:pPr>
        <w:pStyle w:val="Heading1"/>
      </w:pPr>
      <w:r>
        <w:t>Requirement Index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083"/>
        <w:gridCol w:w="5083"/>
      </w:tblGrid>
      <w:tr>
        <w:tc>
          <w:tcPr>
            <w:tcW w:type="dxa" w:w="252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ID group</w:t>
            </w:r>
          </w:p>
        </w:tc>
        <w:tc>
          <w:tcPr>
            <w:tcW w:type="dxa" w:w="828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Coverage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FR-REP-001 to 005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Hourly, item, category, shared filters/permissions, print and CSV export</w:t>
            </w:r>
          </w:p>
        </w:tc>
      </w:tr>
      <w:tr>
        <w:tc>
          <w:tcPr>
            <w:tcW w:type="dxa" w:w="2520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BR-REP-001 to 004</w:t>
            </w:r>
          </w:p>
        </w:tc>
        <w:tc>
          <w:tcPr>
            <w:tcW w:type="dxa" w:w="8280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Manila time buckets, one financial scope, item/category identity, void/refund behavior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DATA-REP-001 to 002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Existing transaction/line source; no schema migration by default</w:t>
            </w:r>
          </w:p>
        </w:tc>
      </w:tr>
      <w:tr>
        <w:tc>
          <w:tcPr>
            <w:tcW w:type="dxa" w:w="2520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SEC-REP-001 to 003</w:t>
            </w:r>
          </w:p>
        </w:tc>
        <w:tc>
          <w:tcPr>
            <w:tcW w:type="dxa" w:w="8280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Tenant/location/cashier scope, allowlisted query controls, no leakage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PERM-REP-001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Preserve existing POS report permission contract</w:t>
            </w:r>
          </w:p>
        </w:tc>
      </w:tr>
      <w:tr>
        <w:tc>
          <w:tcPr>
            <w:tcW w:type="dxa" w:w="2520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UI-REP-001 to 006</w:t>
            </w:r>
          </w:p>
        </w:tc>
        <w:tc>
          <w:tcPr>
            <w:tcW w:type="dxa" w:w="8280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Tabs, tables, filters, loading/error/empty/offline, responsive behavior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REP-REP-001 to 004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Totals reconciliation, export fidelity, traceable evidence, no mutation</w:t>
            </w:r>
          </w:p>
        </w:tc>
      </w:tr>
      <w:tr>
        <w:tc>
          <w:tcPr>
            <w:tcW w:type="dxa" w:w="2520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NFR-REP-001 to 004</w:t>
            </w:r>
          </w:p>
        </w:tc>
        <w:tc>
          <w:tcPr>
            <w:tcW w:type="dxa" w:w="8280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Performance, accessibility, compatibility and observability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MIG-REP-001 and OPS-REP-001 to 003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Migration decision, rollout, rollback and monitoring</w:t>
            </w:r>
          </w:p>
        </w:tc>
      </w:tr>
    </w:tbl>
    <w:p>
      <w:pPr>
        <w:spacing w:after="20"/>
      </w:pPr>
    </w:p>
    <w:p>
      <w:pPr>
        <w:pStyle w:val="Heading1"/>
      </w:pPr>
      <w:r>
        <w:t>Business Rule Index</w:t>
      </w:r>
    </w:p>
    <w:p>
      <w:pPr>
        <w:pStyle w:val="ListBullet"/>
      </w:pPr>
      <w:r>
        <w:t>BR-REP-001: Hourly buckets use the application’s Manila business timezone and explicit half-open date/time boundaries.</w:t>
      </w:r>
    </w:p>
    <w:p>
      <w:pPr>
        <w:pStyle w:val="ListBullet"/>
      </w:pPr>
      <w:r>
        <w:t>BR-REP-002: All three reports reuse the existing normalized POS line pipeline so split tenders, discounts, voids and refunds are not double counted.</w:t>
      </w:r>
    </w:p>
    <w:p>
      <w:pPr>
        <w:pStyle w:val="ListBullet"/>
      </w:pPr>
      <w:r>
        <w:t>BR-REP-003: Item names/SKUs use historical line snapshots when available; category follows the existing live folder/category resolution policy.</w:t>
      </w:r>
    </w:p>
    <w:p>
      <w:pPr>
        <w:pStyle w:val="ListBullet"/>
      </w:pPr>
      <w:r>
        <w:t>BR-REP-004: The existing void/refund semantics remain unchanged: voided/refunded revenue is excluded from net sales and represented in refund/void measures.</w:t>
      </w:r>
    </w:p>
    <w:p>
      <w:pPr>
        <w:pStyle w:val="Heading1"/>
      </w:pPr>
      <w:r>
        <w:t>ADR and Documentation Index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083"/>
        <w:gridCol w:w="5083"/>
      </w:tblGrid>
      <w:tr>
        <w:tc>
          <w:tcPr>
            <w:tcW w:type="dxa" w:w="403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Reference</w:t>
            </w:r>
          </w:p>
        </w:tc>
        <w:tc>
          <w:tcPr>
            <w:tcW w:type="dxa" w:w="676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Decision used by this plan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docs/START_HERE.md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Documentation authority and required lookup order</w:t>
            </w:r>
          </w:p>
        </w:tc>
      </w:tr>
      <w:tr>
        <w:tc>
          <w:tcPr>
            <w:tcW w:type="dxa" w:w="4032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docs/architecture/ARCHITECTURE_BOUNDARIES.md</w:t>
            </w:r>
          </w:p>
        </w:tc>
        <w:tc>
          <w:tcPr>
            <w:tcW w:type="dxa" w:w="6768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Routes -&gt; controllers -&gt; usecases -&gt; repositories -&gt; models; transport/business/data separation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docs/architecture/ARCHITECTURE_GOVERNANCE.md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Cross-boundary impact, ADR strictness, hardening, telemetry and rollback expectations</w:t>
            </w:r>
          </w:p>
        </w:tc>
      </w:tr>
      <w:tr>
        <w:tc>
          <w:tcPr>
            <w:tcW w:type="dxa" w:w="4032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ADR 0005</w:t>
            </w:r>
          </w:p>
        </w:tc>
        <w:tc>
          <w:tcPr>
            <w:tcW w:type="dxa" w:w="6768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Read-only unified sales read model; source tags and financial snapshots are preserved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ADR 0029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 owns sales execution data; reports are read-side and additive; no destructive schema change</w:t>
            </w:r>
          </w:p>
        </w:tc>
      </w:tr>
      <w:tr>
        <w:tc>
          <w:tcPr>
            <w:tcW w:type="dxa" w:w="4032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ADR 0039</w:t>
            </w:r>
          </w:p>
        </w:tc>
        <w:tc>
          <w:tcPr>
            <w:tcW w:type="dxa" w:w="6768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new ADR if implementation stays within existing defaults/snapshots; new ADR if a binding changes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ADR 0071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Shared web-core tests run through IMS; affected app builds must be verified</w:t>
            </w:r>
          </w:p>
        </w:tc>
      </w:tr>
      <w:tr>
        <w:tc>
          <w:tcPr>
            <w:tcW w:type="dxa" w:w="4032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docs/templates/IMPLEMENTATION_PLAN_TEMPLATE.md</w:t>
            </w:r>
          </w:p>
        </w:tc>
        <w:tc>
          <w:tcPr>
            <w:tcW w:type="dxa" w:w="6768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Required plan areas and evidence expectations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docs/testing/pos-e2e-uat-checklist.md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Existing POS report UAT and evidence baseline</w:t>
            </w:r>
          </w:p>
        </w:tc>
      </w:tr>
    </w:tbl>
    <w:p>
      <w:pPr>
        <w:spacing w:after="20"/>
      </w:pPr>
    </w:p>
    <w:p>
      <w:pPr>
        <w:pStyle w:val="Heading1"/>
      </w:pPr>
      <w:r>
        <w:t>Risk Index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083"/>
        <w:gridCol w:w="5083"/>
      </w:tblGrid>
      <w:tr>
        <w:tc>
          <w:tcPr>
            <w:tcW w:type="dxa" w:w="3816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Risk</w:t>
            </w:r>
          </w:p>
        </w:tc>
        <w:tc>
          <w:tcPr>
            <w:tcW w:type="dxa" w:w="6984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Control location</w:t>
            </w:r>
          </w:p>
        </w:tc>
      </w:tr>
      <w:tr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Large date ranges and item cardinality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03 endpoint pagination/limits; 05 performance gates</w:t>
            </w:r>
          </w:p>
        </w:tc>
      </w:tr>
      <w:tr>
        <w:tc>
          <w:tcPr>
            <w:tcW w:type="dxa" w:w="3816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Timezone boundary errors</w:t>
            </w:r>
          </w:p>
        </w:tc>
        <w:tc>
          <w:tcPr>
            <w:tcW w:type="dxa" w:w="6984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02 business rules; 03 repository tests; 05 UAT</w:t>
            </w:r>
          </w:p>
        </w:tc>
      </w:tr>
      <w:tr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Double counting split tenders or voids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03 normalized-line reuse; 05 reconciliation tests</w:t>
            </w:r>
          </w:p>
        </w:tc>
      </w:tr>
      <w:tr>
        <w:tc>
          <w:tcPr>
            <w:tcW w:type="dxa" w:w="3816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Cross-tenant or cross-branch leakage</w:t>
            </w:r>
          </w:p>
        </w:tc>
        <w:tc>
          <w:tcPr>
            <w:tcW w:type="dxa" w:w="6984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02 permissions; 03 scoped usecase; 05 authorization tests</w:t>
            </w:r>
          </w:p>
        </w:tc>
      </w:tr>
      <w:tr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Live category recategorization surprises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02 explicit semantics; 03 contract documentation</w:t>
            </w:r>
          </w:p>
        </w:tc>
      </w:tr>
      <w:tr>
        <w:tc>
          <w:tcPr>
            <w:tcW w:type="dxa" w:w="3816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Offline cache incompatibility</w:t>
            </w:r>
          </w:p>
        </w:tc>
        <w:tc>
          <w:tcPr>
            <w:tcW w:type="dxa" w:w="6984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04 snapshot versioning and stale-state UX; 05 offline evidence</w:t>
            </w:r>
          </w:p>
        </w:tc>
      </w:tr>
      <w:tr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Phase numbering conflict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06 sequencing warning; owner/PM reconciliation before implementation</w:t>
            </w:r>
          </w:p>
        </w:tc>
      </w:tr>
    </w:tbl>
    <w:p>
      <w:pPr>
        <w:spacing w:after="20"/>
      </w:pPr>
    </w:p>
    <w:p>
      <w:pPr>
        <w:pStyle w:val="Heading1"/>
      </w:pPr>
      <w:r>
        <w:t>Implementation Phase Index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389"/>
        <w:gridCol w:w="3389"/>
        <w:gridCol w:w="3389"/>
      </w:tblGrid>
      <w:tr>
        <w:tc>
          <w:tcPr>
            <w:tcW w:type="dxa" w:w="151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Local phase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Objective</w:t>
            </w:r>
          </w:p>
        </w:tc>
        <w:tc>
          <w:tcPr>
            <w:tcW w:type="dxa" w:w="424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Exit gate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RPT-01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Freeze scope and report contracts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Requirements and response examples approved</w:t>
            </w:r>
          </w:p>
        </w:tc>
      </w:tr>
      <w:tr>
        <w:tc>
          <w:tcPr>
            <w:tcW w:type="dxa" w:w="1512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RPT-02</w:t>
            </w:r>
          </w:p>
        </w:tc>
        <w:tc>
          <w:tcPr>
            <w:tcW w:type="dxa" w:w="5040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Implement backend breakdown service and export sections</w:t>
            </w:r>
          </w:p>
        </w:tc>
        <w:tc>
          <w:tcPr>
            <w:tcW w:type="dxa" w:w="4248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Route/usecase/repository/security tests pass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RPT-03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Implement shared POS report UI and offline/export behavior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Component contracts, accessibility and affected builds pass</w:t>
            </w:r>
          </w:p>
        </w:tc>
      </w:tr>
      <w:tr>
        <w:tc>
          <w:tcPr>
            <w:tcW w:type="dxa" w:w="1512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RPT-04</w:t>
            </w:r>
          </w:p>
        </w:tc>
        <w:tc>
          <w:tcPr>
            <w:tcW w:type="dxa" w:w="5040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Run integration, reconciliation and performance verification</w:t>
            </w:r>
          </w:p>
        </w:tc>
        <w:tc>
          <w:tcPr>
            <w:tcW w:type="dxa" w:w="4248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All critical verification matrix rows pass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RPT-05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Run staging UAT and collect evidence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Screenshots, CSVs, logs and SHA-bound report complete</w:t>
            </w:r>
          </w:p>
        </w:tc>
      </w:tr>
      <w:tr>
        <w:tc>
          <w:tcPr>
            <w:tcW w:type="dxa" w:w="1512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RPT-06</w:t>
            </w:r>
          </w:p>
        </w:tc>
        <w:tc>
          <w:tcPr>
            <w:tcW w:type="dxa" w:w="5040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Roll out, monitor and close the plan</w:t>
            </w:r>
          </w:p>
        </w:tc>
        <w:tc>
          <w:tcPr>
            <w:tcW w:type="dxa" w:w="4248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Release gates pass; rollback drill and monitoring evidence recorded</w:t>
            </w:r>
          </w:p>
        </w:tc>
      </w:tr>
    </w:tbl>
    <w:p>
      <w:pPr>
        <w:spacing w:after="20"/>
      </w:pPr>
    </w:p>
    <w:p>
      <w:pPr>
        <w:pStyle w:val="Heading1"/>
      </w:pPr>
      <w:r>
        <w:t>Acceptance Index</w:t>
      </w:r>
    </w:p>
    <w:p>
      <w:pPr>
        <w:pStyle w:val="ListBullet"/>
      </w:pPr>
      <w:r>
        <w:t>A user with existing authorized POS report access can open Hourly Sales, Item Sales and Sales by Category without changing checkout, shift, or transaction data.</w:t>
      </w:r>
    </w:p>
    <w:p>
      <w:pPr>
        <w:pStyle w:val="ListBullet"/>
      </w:pPr>
      <w:r>
        <w:t>Each report honors the current date, location, cashier, source, payment and category filters where applicable.</w:t>
      </w:r>
    </w:p>
    <w:p>
      <w:pPr>
        <w:pStyle w:val="ListBullet"/>
      </w:pPr>
      <w:r>
        <w:t>Report totals reconcile to the existing overview for the same scoped dataset, with documented treatment of voids/refunds and split tenders.</w:t>
      </w:r>
    </w:p>
    <w:p>
      <w:pPr>
        <w:pStyle w:val="ListBullet"/>
      </w:pPr>
      <w:r>
        <w:t>CSV exports contain the same rows and totals as the visible report and are generated server-side.</w:t>
      </w:r>
    </w:p>
    <w:p>
      <w:pPr>
        <w:pStyle w:val="ListBullet"/>
      </w:pPr>
      <w:r>
        <w:t>Cashier, branch-view, tenant, unauthorized-location and malformed-query cases fail closed.</w:t>
      </w:r>
    </w:p>
    <w:p>
      <w:pPr>
        <w:pStyle w:val="ListBullet"/>
      </w:pPr>
      <w:r>
        <w:t>The feature passes backend, shared frontend, affected app build, architecture, documentation, performance and staging evidence gates.</w:t>
      </w:r>
    </w:p>
    <w:p>
      <w:pPr>
        <w:pStyle w:val="Heading1"/>
      </w:pPr>
      <w:r>
        <w:t>Assumptions and Warnings</w:t>
      </w:r>
    </w:p>
    <w:p>
      <w:pPr>
        <w:pStyle w:val="ListBullet"/>
      </w:pPr>
      <w:r>
        <w:t>The request is for a plan, not implementation. No application code, migration, commit, PR or deployment is included in these artifacts.</w:t>
      </w:r>
    </w:p>
    <w:p>
      <w:pPr>
        <w:pStyle w:val="ListBullet"/>
      </w:pPr>
      <w:r>
        <w:t>The existing POS permission contract remains the source of truth: pos:view and pos:branch_view. reports:view/reports:export are not substituted without a separate authorization decision.</w:t>
      </w:r>
    </w:p>
    <w:p>
      <w:pPr>
        <w:pStyle w:val="ListBullet"/>
      </w:pPr>
      <w:r>
        <w:t>The authoritative phase ledger currently ends at Phase 347, which is in_progress, and identifies 348 as the next eligible global phase after its gates. A separate Implementation.md sequence also names 348-350 for device/location work but is not the authoritative ledger. This plan therefore uses local RPT-01 through RPT-06 IDs and must be mapped only after phase ownership is reconciled.</w:t>
      </w:r>
    </w:p>
    <w:p>
      <w:pPr>
        <w:pStyle w:val="ListBullet"/>
      </w:pPr>
      <w:r>
        <w:t>No database migration is expected for derived read-time aggregates. A migration becomes in-scope only if measured query plans prove existing indexes insufficient and the migration is separately reviewed.</w:t>
      </w:r>
    </w:p>
    <w:p>
      <w:pPr>
        <w:pStyle w:val="ListBullet"/>
      </w:pPr>
      <w:r>
        <w:t>Current category semantics intentionally follow the live folder/category resolution used by existing reports. Changing to historical category snapshots is outside this plan and would require a documented domain decision.</w:t>
      </w:r>
    </w:p>
    <w:p>
      <w:pPr>
        <w:pStyle w:val="Heading1"/>
      </w:pPr>
      <w:r>
        <w:t>Next Eligible Action</w:t>
      </w:r>
    </w:p>
    <w:p>
      <w:r>
        <w:t>Use Section 01 to confirm the current report flow and target boundary. Then freeze the numbered requirements in Section 02 before implementation work begins.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5" w:right="1037" w:bottom="893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16"/>
      </w:rPr>
      <w:t xml:space="preserve">Page </w:t>
      <w:fldChar w:fldCharType="begin"/>
      <w:instrText xml:space="preserve"> PAGE </w:instrText>
      <w:fldChar w:fldCharType="separate">
        <w:t>1</w:t>
      </w:fldCha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DGFY POS Reports Analytics Expansion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Aptos" w:hAnsi="Aptos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3737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00_Master_Plan_Index.docx</dc:title>
  <dc:subject>Repository-grounded implementation plan</dc:subject>
  <dc:creator>Codex</dc:creator>
  <cp:keywords/>
  <dc:description>Plan only. No application code or database changes are included.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