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and Business Rules</w:t>
      </w:r>
    </w:p>
    <w:p>
      <w:pPr>
        <w:spacing w:after="180"/>
      </w:pPr>
      <w:r>
        <w:rPr>
          <w:i/>
          <w:color w:val="505050"/>
          <w:sz w:val="21"/>
        </w:rPr>
        <w:t>Section 02 | Numbered behavior, authorization, historical semantics and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DGFY POS Reports Analytics Expansion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 Version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Number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Title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Requirements and Business Rules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Freeze testable requirements before backend or frontend implementation and make policy decisions explicit.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01; permissions.js; POS validators/usecases/repository; ADR 0005, ADR 0029, ADR 0039 and ADR 0040.</w:t>
            </w:r>
          </w:p>
        </w:tc>
      </w:tr>
    </w:tbl>
    <w:p>
      <w:pPr>
        <w:spacing w:after="20"/>
      </w:pPr>
    </w:p>
    <w:p>
      <w:pPr>
        <w:pStyle w:val="Heading1"/>
      </w:pPr>
      <w:r>
        <w:t>Plan Content</w:t>
      </w:r>
    </w:p>
    <w:p>
      <w:r>
        <w:t>The requirements below are deliberately additive. They preserve existing POS report access and financial calculations while making the requested breakdowns explicit and independently verifiable.</w:t>
      </w:r>
    </w:p>
    <w:p>
      <w:pPr>
        <w:pStyle w:val="Heading1"/>
      </w:pPr>
      <w:r>
        <w:t>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2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FR-REP-001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 Hourly Sales with one row per Manila local hour in the selected range, including bucket start/end, transaction count, items sold, gross sales, discounts, net sales, refunds/voids, VAT, service fees, COGS and profit fields supported by the existing report model.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FR-REP-002</w:t>
            </w:r>
          </w:p>
        </w:tc>
        <w:tc>
          <w:tcPr>
            <w:tcW w:type="dxa" w:w="82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 Item Sales with every matching item group subject to an explicit server page/limit contract, including snapshot-safe item identity, category label, quantity, orders, gross, discounts, net, refunds/voids, COGS, profit, margin, average price and share of net sales.</w:t>
            </w:r>
          </w:p>
        </w:tc>
        <w:tc>
          <w:tcPr>
            <w:tcW w:type="dxa" w:w="115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FR-REP-003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 Sales by Category with one row per matching category key, including category identity, item count, orders, quantity, gross, discounts, net, refunds/voids, COGS, profit, margin and share of net sales.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FR-REP-004</w:t>
            </w:r>
          </w:p>
        </w:tc>
        <w:tc>
          <w:tcPr>
            <w:tcW w:type="dxa" w:w="82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Apply the existing date, authorized location, cashier, payment, source and category filters consistently to all three views; expose applied filters in the response and UI.</w:t>
            </w:r>
          </w:p>
        </w:tc>
        <w:tc>
          <w:tcPr>
            <w:tcW w:type="dxa" w:w="115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FR-REP-005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Allow server-side CSV export for hourly, item-sales and category-sales sections using the same filter, scope, sort and row set as the visible report.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1"/>
      </w:pPr>
      <w:r>
        <w:t>Business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1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BR-REP-001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Hourly aggregation uses the application Manila business timezone. Date inputs are inclusive local dates, translated to an exclusive UTC end boundary exactly as current reports do.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Boundary tests at midnight, last hour and multi-day range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BR-REP-002</w:t>
            </w:r>
          </w:p>
        </w:tc>
        <w:tc>
          <w:tcPr>
            <w:tcW w:type="dxa" w:w="71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breakdowns reuse normalized POS line facts. A split payment must not multiply item or category sales; an item line must contribute once to its group.</w:t>
            </w:r>
          </w:p>
        </w:tc>
        <w:tc>
          <w:tcPr>
            <w:tcW w:type="dxa" w:w="216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Mixed-tender and duplicate-join tests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BR-REP-003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line item_name_snapshot and sku_snapshot when present. Preserve the existing fallback to live item data.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Snapshot versus fallback fixture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BR-REP-004</w:t>
            </w:r>
          </w:p>
        </w:tc>
        <w:tc>
          <w:tcPr>
            <w:tcW w:type="dxa" w:w="71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Category grouping follows the existing resolveReportItemCategory behavior: folder name, then product_folder, then legacy category. Current recategorization semantics remain explicit.</w:t>
            </w:r>
          </w:p>
        </w:tc>
        <w:tc>
          <w:tcPr>
            <w:tcW w:type="dxa" w:w="216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Category filter/grouping parity test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BR-REP-005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Voided/refunded lines follow the current normalized semantics: they are excluded from net sales and represented in refund/void totals. No new reversal rule is invented.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Voided/refunded transaction fixture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BR-REP-006</w:t>
            </w:r>
          </w:p>
        </w:tc>
        <w:tc>
          <w:tcPr>
            <w:tcW w:type="dxa" w:w="71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Rows with no category use a stable uncategorized key and label; they must not disappear from totals.</w:t>
            </w:r>
          </w:p>
        </w:tc>
        <w:tc>
          <w:tcPr>
            <w:tcW w:type="dxa" w:w="216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Null category fixture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BR-REP-007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 or mode-aware rows follow existing report participation and do not invent stock-cost behavior outside the current COGS/profit policy.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Mode-aware and cost policy tests</w:t>
            </w:r>
          </w:p>
        </w:tc>
      </w:tr>
    </w:tbl>
    <w:p>
      <w:pPr>
        <w:spacing w:after="20"/>
      </w:pPr>
    </w:p>
    <w:p>
      <w:pPr>
        <w:pStyle w:val="Heading1"/>
      </w:pPr>
      <w:r>
        <w:t>Permission and Security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1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PERM-REP-001</w:t>
            </w:r>
          </w:p>
        </w:tc>
        <w:tc>
          <w:tcPr>
            <w:tcW w:type="dxa" w:w="91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Preserve existing POS report authorization: pos:view or pos:branch_view, subject to the current actor and location scope helpers.</w:t>
            </w:r>
          </w:p>
        </w:tc>
      </w:tr>
      <w:tr>
        <w:tc>
          <w:tcPr>
            <w:tcW w:type="dxa" w:w="165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SEC-REP-001</w:t>
            </w:r>
          </w:p>
        </w:tc>
        <w:tc>
          <w:tcPr>
            <w:tcW w:type="dxa" w:w="914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Every request remains tenant scoped; an actor cannot use location_id, cashier_id or filters to read another tenant.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SEC-REP-002</w:t>
            </w:r>
          </w:p>
        </w:tc>
        <w:tc>
          <w:tcPr>
            <w:tcW w:type="dxa" w:w="91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cashier remains forced to their own cashier scope; requesting another cashier returns the established authorization failure.</w:t>
            </w:r>
          </w:p>
        </w:tc>
      </w:tr>
      <w:tr>
        <w:tc>
          <w:tcPr>
            <w:tcW w:type="dxa" w:w="165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SEC-REP-003</w:t>
            </w:r>
          </w:p>
        </w:tc>
        <w:tc>
          <w:tcPr>
            <w:tcW w:type="dxa" w:w="914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Breakdown, sort, direction, page, limit and export section values are allowlisted and validated. No raw client expression is passed to SQL ordering or filtering.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SEC-REP-004</w:t>
            </w:r>
          </w:p>
        </w:tc>
        <w:tc>
          <w:tcPr>
            <w:tcW w:type="dxa" w:w="91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CSV output must preserve escaping and must not expose credentials, internal identifiers beyond the existing report contract, or cross-scope rows.</w:t>
            </w:r>
          </w:p>
        </w:tc>
      </w:tr>
    </w:tbl>
    <w:p>
      <w:pPr>
        <w:spacing w:after="20"/>
      </w:pPr>
    </w:p>
    <w:p>
      <w:pPr>
        <w:pStyle w:val="Heading1"/>
      </w:pPr>
      <w:r>
        <w:t>Data and Compatibility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DATA-REP-001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existing pos_transactions, pos_transaction_lines, item/item-folder relationships, snapshots and current report includes as the source of truth.</w:t>
            </w:r>
          </w:p>
        </w:tc>
      </w:tr>
      <w:tr>
        <w:tc>
          <w:tcPr>
            <w:tcW w:type="dxa" w:w="17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DATA-REP-002</w:t>
            </w:r>
          </w:p>
        </w:tc>
        <w:tc>
          <w:tcPr>
            <w:tcW w:type="dxa" w:w="907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add a persisted aggregate table or migration by default. If measured query plans require an index, add only the minimum additive migration with rollback and tenant-safety review.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DATA-REP-003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Existing /overview consumers and existing export sections remain backward compatible. New fields or a new breakdown route are additive.</w:t>
            </w:r>
          </w:p>
        </w:tc>
      </w:tr>
      <w:tr>
        <w:tc>
          <w:tcPr>
            <w:tcW w:type="dxa" w:w="17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NFR-REP-001</w:t>
            </w:r>
          </w:p>
        </w:tc>
        <w:tc>
          <w:tcPr>
            <w:tcW w:type="dxa" w:w="907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Bound response size with explicit row limits and pagination for item/category data; hourly requests must also have a predictable maximum bucket count.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NFR-REP-002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Meet existing report performance budgets or document measured variance with query count, duration, rows read and payload size.</w:t>
            </w:r>
          </w:p>
        </w:tc>
      </w:tr>
      <w:tr>
        <w:tc>
          <w:tcPr>
            <w:tcW w:type="dxa" w:w="172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NFR-REP-003</w:t>
            </w:r>
          </w:p>
        </w:tc>
        <w:tc>
          <w:tcPr>
            <w:tcW w:type="dxa" w:w="907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 responsive tables, keyboard navigation, accessible labels and visible loading/empty/error/offline states.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NFR-REP-004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 enough structured logging/metrics to distinguish authorization failures, validation failures, query failures, empty scopes and slow exports.</w:t>
            </w:r>
          </w:p>
        </w:tc>
      </w:tr>
    </w:tbl>
    <w:p>
      <w:pPr>
        <w:spacing w:after="20"/>
      </w:pPr>
    </w:p>
    <w:p>
      <w:pPr>
        <w:pStyle w:val="Heading1"/>
      </w:pPr>
      <w:r>
        <w:t>Open Decisions That Must Be Closed Before Implementation</w:t>
      </w:r>
    </w:p>
    <w:p>
      <w:pPr>
        <w:pStyle w:val="ListBullet"/>
      </w:pPr>
      <w:r>
        <w:t>Confirm the product label and placement: Hourly Sales, Item Sales, and Sales by Category as three tabs or the project’s established report-tab naming convention.</w:t>
      </w:r>
    </w:p>
    <w:p>
      <w:pPr>
        <w:pStyle w:val="ListBullet"/>
      </w:pPr>
      <w:r>
        <w:t>Confirm the maximum date range for hourly and full item/category views if the existing 366-day overview limit is too large for the new breakdown response.</w:t>
      </w:r>
    </w:p>
    <w:p>
      <w:pPr>
        <w:pStyle w:val="ListBullet"/>
      </w:pPr>
      <w:r>
        <w:t>Confirm whether the Item Sales UI shows all pages with server pagination or a bounded “top items” mode. This plan selects server pagination for a complete report.</w:t>
      </w:r>
    </w:p>
    <w:p>
      <w:pPr>
        <w:pStyle w:val="ListBullet"/>
      </w:pPr>
      <w:r>
        <w:t>Confirm whether inactive categories should be displayed when historical rows reference them. This plan preserves the existing category grouping key and requires an explicit uncategorized/inactive label policy before build.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Existing permissions, date validation, location scope and normalized line semantics are available and tested.</w:t>
      </w:r>
    </w:p>
    <w:p>
      <w:pPr>
        <w:pStyle w:val="ListBullet"/>
      </w:pPr>
      <w:r>
        <w:t>The application timezone is Manila for report bucket keys.</w:t>
      </w:r>
    </w:p>
    <w:p>
      <w:pPr>
        <w:pStyle w:val="ListBullet"/>
      </w:pPr>
      <w:r>
        <w:t>The request is analytics-only and does not require writes.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reports should be available to the same roles currently allowed to view POS reports.</w:t>
      </w:r>
    </w:p>
    <w:p>
      <w:pPr>
        <w:pStyle w:val="ListBullet"/>
      </w:pPr>
      <w:r>
        <w:t>The owner accepts server pagination for high-cardinality item and category output.</w:t>
      </w:r>
    </w:p>
    <w:p>
      <w:pPr>
        <w:pStyle w:val="ListBullet"/>
      </w:pPr>
      <w:r>
        <w:t>No historical category snapshot change is desired in this initiative.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FR-REP-001 to FR-REP-005</w:t>
      </w:r>
    </w:p>
    <w:p>
      <w:pPr>
        <w:pStyle w:val="ListBullet"/>
      </w:pPr>
      <w:r>
        <w:t>BR-REP-001 to BR-REP-007</w:t>
      </w:r>
    </w:p>
    <w:p>
      <w:pPr>
        <w:pStyle w:val="ListBullet"/>
      </w:pPr>
      <w:r>
        <w:t>PERM-REP-001</w:t>
      </w:r>
    </w:p>
    <w:p>
      <w:pPr>
        <w:pStyle w:val="ListBullet"/>
      </w:pPr>
      <w:r>
        <w:t>SEC-REP-001 to SEC-REP-004</w:t>
      </w:r>
    </w:p>
    <w:p>
      <w:pPr>
        <w:pStyle w:val="ListBullet"/>
      </w:pPr>
      <w:r>
        <w:t>DATA-REP-001 to DATA-REP-003</w:t>
      </w:r>
    </w:p>
    <w:p>
      <w:pPr>
        <w:pStyle w:val="ListBullet"/>
      </w:pPr>
      <w:r>
        <w:t>NFR-REP-001 to NFR-REP-004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apps/dgfy-api/src/config/permissions.js</w:t>
      </w:r>
    </w:p>
    <w:p>
      <w:pPr>
        <w:pStyle w:val="ListBullet"/>
      </w:pPr>
      <w:r>
        <w:t>apps/dgfy-api/src/validators/posValidator.js</w:t>
      </w:r>
    </w:p>
    <w:p>
      <w:pPr>
        <w:pStyle w:val="ListBullet"/>
      </w:pPr>
      <w:r>
        <w:t>apps/dgfy-api POS scope usecases</w:t>
      </w:r>
    </w:p>
    <w:p>
      <w:pPr>
        <w:pStyle w:val="ListBullet"/>
      </w:pPr>
      <w:r>
        <w:t>POS report frontend filters and exports</w:t>
      </w:r>
    </w:p>
    <w:p>
      <w:pPr>
        <w:pStyle w:val="Heading1"/>
      </w:pPr>
      <w:r>
        <w:t>Risks</w:t>
      </w:r>
    </w:p>
    <w:p>
      <w:pPr>
        <w:pStyle w:val="ListBullet"/>
      </w:pPr>
      <w:r>
        <w:t>Ambiguous category status could cause silent row loss.</w:t>
      </w:r>
    </w:p>
    <w:p>
      <w:pPr>
        <w:pStyle w:val="ListBullet"/>
      </w:pPr>
      <w:r>
        <w:t>Unbounded item output could create denial-of-service-like load for large tenants.</w:t>
      </w:r>
    </w:p>
    <w:p>
      <w:pPr>
        <w:pStyle w:val="ListBullet"/>
      </w:pPr>
      <w:r>
        <w:t>Permission drift between overview and breakdown endpoint could expose data.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Validator contract tests</w:t>
      </w:r>
    </w:p>
    <w:p>
      <w:pPr>
        <w:pStyle w:val="ListBullet"/>
      </w:pPr>
      <w:r>
        <w:t>Scope and cashier authorization tests</w:t>
      </w:r>
    </w:p>
    <w:p>
      <w:pPr>
        <w:pStyle w:val="ListBullet"/>
      </w:pPr>
      <w:r>
        <w:t>Boundary and aggregation tests</w:t>
      </w:r>
    </w:p>
    <w:p>
      <w:pPr>
        <w:pStyle w:val="ListBullet"/>
      </w:pPr>
      <w:r>
        <w:t>CSV escaping tests</w:t>
      </w:r>
    </w:p>
    <w:p>
      <w:pPr>
        <w:pStyle w:val="ListBullet"/>
      </w:pPr>
      <w:r>
        <w:t>Accessibility and pagination tests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Every requirement has an executable test or evidence row.</w:t>
      </w:r>
    </w:p>
    <w:p>
      <w:pPr>
        <w:pStyle w:val="ListBullet"/>
      </w:pPr>
      <w:r>
        <w:t>No requirement changes financial or authorization semantics without an explicit decision.</w:t>
      </w:r>
    </w:p>
    <w:p>
      <w:pPr>
        <w:pStyle w:val="ListBullet"/>
      </w:pPr>
      <w:r>
        <w:t>All unresolved decisions are closed in the implementation handoff.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RPT-01 is complete only when requirement IDs and open decisions are frozen.</w:t>
      </w:r>
    </w:p>
    <w:p>
      <w:pPr>
        <w:pStyle w:val="ListBullet"/>
      </w:pPr>
      <w:r>
        <w:t>Sections 03-05 must reference these IDs rather than inventing new behavior.</w:t>
      </w:r>
    </w:p>
    <w:p>
      <w:pPr>
        <w:pStyle w:val="ListBullet"/>
      </w:pPr>
      <w:r>
        <w:t>If a binding architecture rule changes, follow ADR 0039.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apps/dgfy-api/src/config/permissions.js</w:t>
      </w:r>
    </w:p>
    <w:p>
      <w:pPr>
        <w:pStyle w:val="ListBullet"/>
      </w:pPr>
      <w:r>
        <w:t>ADR 0005</w:t>
      </w:r>
    </w:p>
    <w:p>
      <w:pPr>
        <w:pStyle w:val="ListBullet"/>
      </w:pPr>
      <w:r>
        <w:t>ADR 0029</w:t>
      </w:r>
    </w:p>
    <w:p>
      <w:pPr>
        <w:pStyle w:val="ListBullet"/>
      </w:pPr>
      <w:r>
        <w:t>ADR 0039</w:t>
      </w:r>
    </w:p>
    <w:p>
      <w:pPr>
        <w:pStyle w:val="ListBullet"/>
      </w:pPr>
      <w:r>
        <w:t>ADR 0040</w:t>
      </w:r>
    </w:p>
    <w:p>
      <w:pPr>
        <w:pStyle w:val="ListBullet"/>
      </w:pPr>
      <w:r>
        <w:t>docs/architecture/ARCHITECTURE_GOVERNANCE.md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02_Requirements_and_Business_Rules.docx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