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Data and API Plan</w:t>
      </w:r>
    </w:p>
    <w:p>
      <w:pPr>
        <w:spacing w:after="180"/>
      </w:pPr>
      <w:r>
        <w:rPr>
          <w:i/>
          <w:color w:val="505050"/>
          <w:sz w:val="21"/>
        </w:rPr>
        <w:t>Section 03 | Read path, contract, aggregation, authorization, export and migration posture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DGFY POS Reports Analytics Expansion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 Version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Number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Title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Data and API 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the server-side contract and implementation path without duplicating financial logic or widening scope.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Sections 01-02; POS routes, validators, controller, usecases, repository, tests and compliance declaration.</w:t>
            </w:r>
          </w:p>
        </w:tc>
      </w:tr>
    </w:tbl>
    <w:p>
      <w:pPr>
        <w:spacing w:after="20"/>
      </w:pPr>
    </w:p>
    <w:p>
      <w:pPr>
        <w:pStyle w:val="Heading1"/>
      </w:pPr>
      <w:r>
        <w:t>Plan Content</w:t>
      </w:r>
    </w:p>
    <w:p>
      <w:r>
        <w:t>The recommended backend design is one additive, read-only breakdown service behind the existing POS authorization and scope helpers. It keeps the current overview stable and avoids loading high-cardinality item/category rows on every report-page refresh.</w:t>
      </w:r>
    </w:p>
    <w:p>
      <w:pPr>
        <w:pStyle w:val="Heading1"/>
      </w:pPr>
      <w:r>
        <w:t>Selected API Shape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Contract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/pos/reports/breakdowns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read-only endpoint. Required date_from, date_to, breakdown=hourly|items|categories. Reuse existing optional cashier_id, location_id, terminal_id, payment_type, source, category_id/category, page and limit. Add allowlisted sort_by and sort_direction.</w:t>
            </w:r>
          </w:p>
        </w:tc>
      </w:tr>
      <w:tr>
        <w:tc>
          <w:tcPr>
            <w:tcW w:type="dxa" w:w="28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/pos/reports/export</w:t>
            </w:r>
          </w:p>
        </w:tc>
        <w:tc>
          <w:tcPr>
            <w:tcW w:type="dxa" w:w="79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Extend existing section allowlist with hourly, item_sales and category_sales. Export calls the same breakdown service and uses the same filters, scope, sort and row semantics.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/pos/reports/overview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Remain backward-compatible. Do not force all full item/category rows into the existing overview payload. Existing top_items and current overview consumers remain available.</w:t>
            </w:r>
          </w:p>
        </w:tc>
      </w:tr>
    </w:tbl>
    <w:p>
      <w:pPr>
        <w:spacing w:after="20"/>
      </w:pPr>
    </w:p>
    <w:p>
      <w:pPr>
        <w:pStyle w:val="Heading1"/>
      </w:pPr>
      <w:r>
        <w:t>Breakdown Response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breakdown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hourly, items or categories; echoed from validated query</w:t>
            </w:r>
          </w:p>
        </w:tc>
      </w:tr>
      <w:tr>
        <w:tc>
          <w:tcPr>
            <w:tcW w:type="dxa" w:w="259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range</w:t>
            </w:r>
          </w:p>
        </w:tc>
        <w:tc>
          <w:tcPr>
            <w:tcW w:type="dxa" w:w="82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date_from, date_to, timezone=Asia/Manila, start_at, end_at_exclusive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applied_filters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Validated date, scope and optional filters; omit sensitive auth data</w:t>
            </w:r>
          </w:p>
        </w:tc>
      </w:tr>
      <w:tr>
        <w:tc>
          <w:tcPr>
            <w:tcW w:type="dxa" w:w="259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82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gross_sales, discounts, net_sales, refunds_voids, vatable_sales, vat, service_fees, cogs, profit, total_transactions, total_items_sold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rows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Breakdown-specific rows sorted by the validated default or requested sort</w:t>
            </w:r>
          </w:p>
        </w:tc>
      </w:tr>
      <w:tr>
        <w:tc>
          <w:tcPr>
            <w:tcW w:type="dxa" w:w="259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pagination</w:t>
            </w:r>
          </w:p>
        </w:tc>
        <w:tc>
          <w:tcPr>
            <w:tcW w:type="dxa" w:w="82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page, limit, total_rows, total_pages, has_next; hourly may still return pagination metadata for a bounded contract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generated_at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Server timestamp for evidence and stale/offline messaging</w:t>
            </w:r>
          </w:p>
        </w:tc>
      </w:tr>
    </w:tbl>
    <w:p>
      <w:pPr>
        <w:spacing w:after="20"/>
      </w:pPr>
    </w:p>
    <w:p>
      <w:pPr>
        <w:pStyle w:val="Heading1"/>
      </w:pPr>
      <w:r>
        <w:t>Row Contracts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84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 row fields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Hourly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bucket_start_local, bucket_end_local, transaction_count, item_quantity, gross_sales, discounts, net_sales, refunds_voids, vat, service_fees, cogs, profit, profit_margin</w:t>
            </w:r>
          </w:p>
        </w:tc>
      </w:tr>
      <w:tr>
        <w:tc>
          <w:tcPr>
            <w:tcW w:type="dxa" w:w="23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 Sales</w:t>
            </w:r>
          </w:p>
        </w:tc>
        <w:tc>
          <w:tcPr>
            <w:tcW w:type="dxa" w:w="84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item_key, item_id when known, item_name, sku, category_key, category_name, quantity, orders, gross_sales, discounts, net_sales, refunds_voids, cogs, profit, profit_margin, average_unit_price, sales_share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 by Category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category_key, category_name, item_count, quantity, orders, gross_sales, discounts, net_sales, refunds_voids, cogs, profit, profit_margin, sales_share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Implementation Path by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8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Exact change plan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Validator</w:t>
            </w:r>
          </w:p>
        </w:tc>
        <w:tc>
          <w:tcPr>
            <w:tcW w:type="dxa" w:w="88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Extend REPORT_GRANULARITIES/sections only where needed; add breakdown enum, sort allowlists, page/limit bounds and export section mappings. Preserve date and filter validation.</w:t>
            </w:r>
          </w:p>
        </w:tc>
      </w:tr>
      <w:tr>
        <w:tc>
          <w:tcPr>
            <w:tcW w:type="dxa" w:w="194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</w:t>
            </w:r>
          </w:p>
        </w:tc>
        <w:tc>
          <w:tcPr>
            <w:tcW w:type="dxa" w:w="885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 the new GET /reports/breakdowns route with the same checkAnyPermission([pos:view, pos:branch_view]) contract and query validator.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Controller</w:t>
            </w:r>
          </w:p>
        </w:tc>
        <w:tc>
          <w:tcPr>
            <w:tcW w:type="dxa" w:w="88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transport-only behavior: read query/auth context, invoke usecase, return response/error using existing handler conventions.</w:t>
            </w:r>
          </w:p>
        </w:tc>
      </w:tr>
      <w:tr>
        <w:tc>
          <w:tcPr>
            <w:tcW w:type="dxa" w:w="194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Usecase</w:t>
            </w:r>
          </w:p>
        </w:tc>
        <w:tc>
          <w:tcPr>
            <w:tcW w:type="dxa" w:w="885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a scoped breakdown usecase by reusing resolvePosReadLocationScope and scopePosReportQueryToActor. Reject unauthorized cashier/location combinations before repository access.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Repository</w:t>
            </w:r>
          </w:p>
        </w:tc>
        <w:tc>
          <w:tcPr>
            <w:tcW w:type="dxa" w:w="88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Factor a shared normalized-row loading path or call the existing listReportTransactions and normalizeReportLineRows once. Add buildHourlySales, buildItemSales and buildCategorySales helpers with stable keys, totals and pagination.</w:t>
            </w:r>
          </w:p>
        </w:tc>
      </w:tr>
      <w:tr>
        <w:tc>
          <w:tcPr>
            <w:tcW w:type="dxa" w:w="194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885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 new section names to the breakdown service. Generate CSV server-side with fixed headers, escaped values and summary metadata; do not reconstruct financial rows in the browser.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88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Extend repository, usecase, validator, route/handler and export suites. Keep existing overview fixtures and assert no regression.</w:t>
            </w:r>
          </w:p>
        </w:tc>
      </w:tr>
    </w:tbl>
    <w:p>
      <w:pPr>
        <w:spacing w:after="20"/>
      </w:pPr>
    </w:p>
    <w:p>
      <w:pPr>
        <w:pStyle w:val="Heading1"/>
      </w:pPr>
      <w:r>
        <w:t>Aggregation Rules</w:t>
      </w:r>
    </w:p>
    <w:p>
      <w:pPr>
        <w:pStyle w:val="ListBullet"/>
      </w:pPr>
      <w:r>
        <w:t>Use the existing transaction created_at date boundary and convert bucket labels to Asia/Manila. For hourly rows, group by local YYYY-MM-DD HH:00 while retaining unambiguous start/end values.</w:t>
      </w:r>
    </w:p>
    <w:p>
      <w:pPr>
        <w:pStyle w:val="ListBullet"/>
      </w:pPr>
      <w:r>
        <w:t>Build item and category totals from normalized lines, not transaction joins or payment allocations. Count orders by distinct transaction/invoice identity within each group.</w:t>
      </w:r>
    </w:p>
    <w:p>
      <w:pPr>
        <w:pStyle w:val="ListBullet"/>
      </w:pPr>
      <w:r>
        <w:t>Use stable item keys: item_id when available, otherwise a snapshot fallback key that cannot merge unrelated unknown items solely by display name.</w:t>
      </w:r>
    </w:p>
    <w:p>
      <w:pPr>
        <w:pStyle w:val="ListBullet"/>
      </w:pPr>
      <w:r>
        <w:t>Use stable category keys: folder_id when available, otherwise a legacy-category key; route null/empty values to an explicit uncategorized key.</w:t>
      </w:r>
    </w:p>
    <w:p>
      <w:pPr>
        <w:pStyle w:val="ListBullet"/>
      </w:pPr>
      <w:r>
        <w:t>Compute percentage shares from the same report-level net sales denominator and define zero-denominator behavior as 0 rather than NaN or Infinity.</w:t>
      </w:r>
    </w:p>
    <w:p>
      <w:pPr>
        <w:pStyle w:val="ListBullet"/>
      </w:pPr>
      <w:r>
        <w:t>Sort defaults: hourly chronological ascending; item/category net sales descending then stable name/key ascending. Client sort requests are allowlisted.</w:t>
      </w:r>
    </w:p>
    <w:p>
      <w:pPr>
        <w:pStyle w:val="Heading1"/>
      </w:pPr>
      <w:r>
        <w:t>Security and Failure Behavior</w:t>
      </w:r>
    </w:p>
    <w:p>
      <w:pPr>
        <w:pStyle w:val="ListBullet"/>
      </w:pPr>
      <w:r>
        <w:t>Fail closed for missing auth, invalid dates, invalid breakdown, invalid sort, invalid page/limit, unauthorized location and cashier mismatch.</w:t>
      </w:r>
    </w:p>
    <w:p>
      <w:pPr>
        <w:pStyle w:val="ListBullet"/>
      </w:pPr>
      <w:r>
        <w:t>Do not return tenant, branch, cashier or item rows outside the resolved scope. Preserve established error status and response shape.</w:t>
      </w:r>
    </w:p>
    <w:p>
      <w:pPr>
        <w:pStyle w:val="ListBullet"/>
      </w:pPr>
      <w:r>
        <w:t>Log request correlation, breakdown, scoped location count, row count, duration and outcome class; do not log credentials or full customer data.</w:t>
      </w:r>
    </w:p>
    <w:p>
      <w:pPr>
        <w:pStyle w:val="ListBullet"/>
      </w:pPr>
      <w:r>
        <w:t>If the breakdown query fails, return the existing report error contract. The frontend must not display partially fabricated totals.</w:t>
      </w:r>
    </w:p>
    <w:p>
      <w:pPr>
        <w:pStyle w:val="Heading1"/>
      </w:pPr>
      <w:r>
        <w:t>Migration and Data Posture</w:t>
      </w:r>
    </w:p>
    <w:p>
      <w:r>
        <w:t>No migration is required for the selected design. Existing transaction and line tables already contain the time, item, category relationship, snapshot and cost facts used by the report. Only measured query-plan evidence may justify an additive index migration. If that happens, the migration must be a separate reviewed batch with tenant-safe backfill/rollback expectations; it must not be smuggled into the feature as an unmeasured optimization.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Current route/usecase/repository boundaries and read-scope helper are available.</w:t>
      </w:r>
    </w:p>
    <w:p>
      <w:pPr>
        <w:pStyle w:val="ListBullet"/>
      </w:pPr>
      <w:r>
        <w:t>Existing line normalization already feeds summary, trends, top-items and profit/loss.</w:t>
      </w:r>
    </w:p>
    <w:p>
      <w:pPr>
        <w:pStyle w:val="ListBullet"/>
      </w:pPr>
      <w:r>
        <w:t>Existing export is server-side and can be extended by allowlisted section mapping.</w:t>
      </w:r>
    </w:p>
    <w:p>
      <w:pPr>
        <w:pStyle w:val="Heading1"/>
      </w:pPr>
      <w:r>
        <w:t>Assumptions</w:t>
      </w:r>
    </w:p>
    <w:p>
      <w:pPr>
        <w:pStyle w:val="ListBullet"/>
      </w:pPr>
      <w:r>
        <w:t>A single breakdown endpoint is acceptable for three related report views.</w:t>
      </w:r>
    </w:p>
    <w:p>
      <w:pPr>
        <w:pStyle w:val="ListBullet"/>
      </w:pPr>
      <w:r>
        <w:t>The endpoint can reuse the existing listReportTransactions query before a future measured SQL aggregation optimization.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FR-REP-001 to 005</w:t>
      </w:r>
    </w:p>
    <w:p>
      <w:pPr>
        <w:pStyle w:val="ListBullet"/>
      </w:pPr>
      <w:r>
        <w:t>BR-REP-001 to 007</w:t>
      </w:r>
    </w:p>
    <w:p>
      <w:pPr>
        <w:pStyle w:val="ListBullet"/>
      </w:pPr>
      <w:r>
        <w:t>DATA-REP-001 to 003</w:t>
      </w:r>
    </w:p>
    <w:p>
      <w:pPr>
        <w:pStyle w:val="ListBullet"/>
      </w:pPr>
      <w:r>
        <w:t>SEC-REP-001 to 004</w:t>
      </w:r>
    </w:p>
    <w:p>
      <w:pPr>
        <w:pStyle w:val="ListBullet"/>
      </w:pPr>
      <w:r>
        <w:t>NFR-REP-001</w:t>
      </w:r>
    </w:p>
    <w:p>
      <w:pPr>
        <w:pStyle w:val="ListBullet"/>
      </w:pPr>
      <w:r>
        <w:t>REP-REP-001 to 002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apps/dgfy-api/src/routes/pos.js</w:t>
      </w:r>
    </w:p>
    <w:p>
      <w:pPr>
        <w:pStyle w:val="ListBullet"/>
      </w:pPr>
      <w:r>
        <w:t>apps/dgfy-api/src/validators/posValidator.js</w:t>
      </w:r>
    </w:p>
    <w:p>
      <w:pPr>
        <w:pStyle w:val="ListBullet"/>
      </w:pPr>
      <w:r>
        <w:t>apps/dgfy-api/src/modules/pos/usecases/posUseCases.js</w:t>
      </w:r>
    </w:p>
    <w:p>
      <w:pPr>
        <w:pStyle w:val="ListBullet"/>
      </w:pPr>
      <w:r>
        <w:t>apps/dgfy-api/src/modules/pos/repositories/posRepository.js</w:t>
      </w:r>
    </w:p>
    <w:p>
      <w:pPr>
        <w:pStyle w:val="ListBullet"/>
      </w:pPr>
      <w:r>
        <w:t>POS report tests</w:t>
      </w:r>
    </w:p>
    <w:p>
      <w:pPr>
        <w:pStyle w:val="Heading1"/>
      </w:pPr>
      <w:r>
        <w:t>Risks</w:t>
      </w:r>
    </w:p>
    <w:p>
      <w:pPr>
        <w:pStyle w:val="ListBullet"/>
      </w:pPr>
      <w:r>
        <w:t>Loading every line for long ranges may be too slow.</w:t>
      </w:r>
    </w:p>
    <w:p>
      <w:pPr>
        <w:pStyle w:val="ListBullet"/>
      </w:pPr>
      <w:r>
        <w:t>Distinct-order counting can be wrong if aggregation is performed after a duplicating include.</w:t>
      </w:r>
    </w:p>
    <w:p>
      <w:pPr>
        <w:pStyle w:val="ListBullet"/>
      </w:pPr>
      <w:r>
        <w:t>Pagination totals can disagree with summary if filtering is applied after pagination.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Unit tests for every aggregation helper</w:t>
      </w:r>
    </w:p>
    <w:p>
      <w:pPr>
        <w:pStyle w:val="ListBullet"/>
      </w:pPr>
      <w:r>
        <w:t>Scope/usecase tests</w:t>
      </w:r>
    </w:p>
    <w:p>
      <w:pPr>
        <w:pStyle w:val="ListBullet"/>
      </w:pPr>
      <w:r>
        <w:t>Route and validator contract tests</w:t>
      </w:r>
    </w:p>
    <w:p>
      <w:pPr>
        <w:pStyle w:val="ListBullet"/>
      </w:pPr>
      <w:r>
        <w:t>Export exact-row tests</w:t>
      </w:r>
    </w:p>
    <w:p>
      <w:pPr>
        <w:pStyle w:val="ListBullet"/>
      </w:pPr>
      <w:r>
        <w:t>Query plan and performance tests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The API contract is additive and documented.</w:t>
      </w:r>
    </w:p>
    <w:p>
      <w:pPr>
        <w:pStyle w:val="ListBullet"/>
      </w:pPr>
      <w:r>
        <w:t>Existing overview/export tests remain green.</w:t>
      </w:r>
    </w:p>
    <w:p>
      <w:pPr>
        <w:pStyle w:val="ListBullet"/>
      </w:pPr>
      <w:r>
        <w:t>Scope and cashier rules are identical to current reports.</w:t>
      </w:r>
    </w:p>
    <w:p>
      <w:pPr>
        <w:pStyle w:val="ListBullet"/>
      </w:pPr>
      <w:r>
        <w:t>No unapproved schema change exists.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RPT-02 depends on frozen requirements.</w:t>
      </w:r>
    </w:p>
    <w:p>
      <w:pPr>
        <w:pStyle w:val="ListBullet"/>
      </w:pPr>
      <w:r>
        <w:t>Frontend Section 04 consumes this contract; changes require synchronized contract tests.</w:t>
      </w:r>
    </w:p>
    <w:p>
      <w:pPr>
        <w:pStyle w:val="ListBullet"/>
      </w:pPr>
      <w:r>
        <w:t>Performance evidence decides whether a follow-up index migration is needed.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docs/architecture/ARCHITECTURE_BOUNDARIES.md</w:t>
      </w:r>
    </w:p>
    <w:p>
      <w:pPr>
        <w:pStyle w:val="ListBullet"/>
      </w:pPr>
      <w:r>
        <w:t>ADR 0005</w:t>
      </w:r>
    </w:p>
    <w:p>
      <w:pPr>
        <w:pStyle w:val="ListBullet"/>
      </w:pPr>
      <w:r>
        <w:t>ADR 0029</w:t>
      </w:r>
    </w:p>
    <w:p>
      <w:pPr>
        <w:pStyle w:val="ListBullet"/>
      </w:pPr>
      <w:r>
        <w:t>ADR 0040</w:t>
      </w:r>
    </w:p>
    <w:p>
      <w:pPr>
        <w:pStyle w:val="ListBullet"/>
      </w:pPr>
      <w:r>
        <w:t>docs/compliance/impact-declarations/2026-07-06-pos-reports-overview-endpoint.md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03_Backend_Data_and_API_Plan.docx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