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Report UI and Export Plan</w:t>
      </w:r>
    </w:p>
    <w:p>
      <w:pPr>
        <w:spacing w:after="180"/>
      </w:pPr>
      <w:r>
        <w:rPr>
          <w:i/>
          <w:color w:val="505050"/>
          <w:sz w:val="21"/>
        </w:rPr>
        <w:t>Section 04 | Shared workspace, filters, tables, state handling, print and offline behavior</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232"/>
            <w:shd w:fill="1F4E79"/>
            <w:vAlign w:val="center"/>
          </w:tcPr>
          <w:p>
            <w:pPr>
              <w:spacing w:after="0"/>
            </w:pPr>
            <w:r/>
            <w:r>
              <w:rPr>
                <w:b/>
                <w:color w:val="FFFFFF"/>
                <w:sz w:val="17"/>
              </w:rPr>
              <w:t>Field</w:t>
            </w:r>
          </w:p>
        </w:tc>
        <w:tc>
          <w:tcPr>
            <w:tcW w:type="dxa" w:w="8568"/>
            <w:shd w:fill="1F4E79"/>
            <w:vAlign w:val="center"/>
          </w:tcPr>
          <w:p>
            <w:pPr>
              <w:spacing w:after="0"/>
            </w:pPr>
            <w:r/>
            <w:r>
              <w:rPr>
                <w:b/>
                <w:color w:val="FFFFFF"/>
                <w:sz w:val="17"/>
              </w:rPr>
              <w:t>Value</w:t>
            </w:r>
          </w:p>
        </w:tc>
      </w:tr>
      <w:tr>
        <w:tc>
          <w:tcPr>
            <w:tcW w:type="dxa" w:w="2232"/>
            <w:vAlign w:val="center"/>
          </w:tcPr>
          <w:p>
            <w:pPr>
              <w:spacing w:after="0"/>
            </w:pPr>
            <w:r/>
            <w:r>
              <w:rPr>
                <w:b w:val="0"/>
                <w:sz w:val="17"/>
              </w:rPr>
              <w:t>Project Name</w:t>
            </w:r>
          </w:p>
        </w:tc>
        <w:tc>
          <w:tcPr>
            <w:tcW w:type="dxa" w:w="8568"/>
            <w:vAlign w:val="center"/>
          </w:tcPr>
          <w:p>
            <w:pPr>
              <w:spacing w:after="0"/>
            </w:pPr>
            <w:r/>
            <w:r>
              <w:rPr>
                <w:b w:val="0"/>
                <w:sz w:val="17"/>
              </w:rPr>
              <w:t>DGFY POS Reports Analytics Expansion</w:t>
            </w:r>
          </w:p>
        </w:tc>
      </w:tr>
      <w:tr>
        <w:tc>
          <w:tcPr>
            <w:tcW w:type="dxa" w:w="2232"/>
            <w:shd w:fill="F5F8FC"/>
            <w:vAlign w:val="center"/>
          </w:tcPr>
          <w:p>
            <w:pPr>
              <w:spacing w:after="0"/>
            </w:pPr>
            <w:r/>
            <w:r>
              <w:rPr>
                <w:b w:val="0"/>
                <w:sz w:val="17"/>
              </w:rPr>
              <w:t>Plan Version</w:t>
            </w:r>
          </w:p>
        </w:tc>
        <w:tc>
          <w:tcPr>
            <w:tcW w:type="dxa" w:w="8568"/>
            <w:shd w:fill="F5F8FC"/>
            <w:vAlign w:val="center"/>
          </w:tcPr>
          <w:p>
            <w:pPr>
              <w:spacing w:after="0"/>
            </w:pPr>
            <w:r/>
            <w:r>
              <w:rPr>
                <w:b w:val="0"/>
                <w:sz w:val="17"/>
              </w:rPr>
              <w:t>1.0</w:t>
            </w:r>
          </w:p>
        </w:tc>
      </w:tr>
      <w:tr>
        <w:tc>
          <w:tcPr>
            <w:tcW w:type="dxa" w:w="2232"/>
            <w:vAlign w:val="center"/>
          </w:tcPr>
          <w:p>
            <w:pPr>
              <w:spacing w:after="0"/>
            </w:pPr>
            <w:r/>
            <w:r>
              <w:rPr>
                <w:b w:val="0"/>
                <w:sz w:val="17"/>
              </w:rPr>
              <w:t>Section Number</w:t>
            </w:r>
          </w:p>
        </w:tc>
        <w:tc>
          <w:tcPr>
            <w:tcW w:type="dxa" w:w="8568"/>
            <w:vAlign w:val="center"/>
          </w:tcPr>
          <w:p>
            <w:pPr>
              <w:spacing w:after="0"/>
            </w:pPr>
            <w:r/>
            <w:r>
              <w:rPr>
                <w:b w:val="0"/>
                <w:sz w:val="17"/>
              </w:rPr>
              <w:t>04</w:t>
            </w:r>
          </w:p>
        </w:tc>
      </w:tr>
      <w:tr>
        <w:tc>
          <w:tcPr>
            <w:tcW w:type="dxa" w:w="2232"/>
            <w:shd w:fill="F5F8FC"/>
            <w:vAlign w:val="center"/>
          </w:tcPr>
          <w:p>
            <w:pPr>
              <w:spacing w:after="0"/>
            </w:pPr>
            <w:r/>
            <w:r>
              <w:rPr>
                <w:b w:val="0"/>
                <w:sz w:val="17"/>
              </w:rPr>
              <w:t>Section Title</w:t>
            </w:r>
          </w:p>
        </w:tc>
        <w:tc>
          <w:tcPr>
            <w:tcW w:type="dxa" w:w="8568"/>
            <w:shd w:fill="F5F8FC"/>
            <w:vAlign w:val="center"/>
          </w:tcPr>
          <w:p>
            <w:pPr>
              <w:spacing w:after="0"/>
            </w:pPr>
            <w:r/>
            <w:r>
              <w:rPr>
                <w:b w:val="0"/>
                <w:sz w:val="17"/>
              </w:rPr>
              <w:t>Frontend Report UI and Export Plan</w:t>
            </w:r>
          </w:p>
        </w:tc>
      </w:tr>
      <w:tr>
        <w:tc>
          <w:tcPr>
            <w:tcW w:type="dxa" w:w="2232"/>
            <w:vAlign w:val="center"/>
          </w:tcPr>
          <w:p>
            <w:pPr>
              <w:spacing w:after="0"/>
            </w:pPr>
            <w:r/>
            <w:r>
              <w:rPr>
                <w:b w:val="0"/>
                <w:sz w:val="17"/>
              </w:rPr>
              <w:t>Purpose</w:t>
            </w:r>
          </w:p>
        </w:tc>
        <w:tc>
          <w:tcPr>
            <w:tcW w:type="dxa" w:w="8568"/>
            <w:vAlign w:val="center"/>
          </w:tcPr>
          <w:p>
            <w:pPr>
              <w:spacing w:after="0"/>
            </w:pPr>
            <w:r/>
            <w:r>
              <w:rPr>
                <w:b w:val="0"/>
                <w:sz w:val="17"/>
              </w:rPr>
              <w:t>Map the three backend breakdowns into the existing POS report workspace without breaking shared web-core consumers.</w:t>
            </w:r>
          </w:p>
        </w:tc>
      </w:tr>
      <w:tr>
        <w:tc>
          <w:tcPr>
            <w:tcW w:type="dxa" w:w="2232"/>
            <w:shd w:fill="F5F8FC"/>
            <w:vAlign w:val="center"/>
          </w:tcPr>
          <w:p>
            <w:pPr>
              <w:spacing w:after="0"/>
            </w:pPr>
            <w:r/>
            <w:r>
              <w:rPr>
                <w:b w:val="0"/>
                <w:sz w:val="17"/>
              </w:rPr>
              <w:t>Dependencies</w:t>
            </w:r>
          </w:p>
        </w:tc>
        <w:tc>
          <w:tcPr>
            <w:tcW w:type="dxa" w:w="8568"/>
            <w:shd w:fill="F5F8FC"/>
            <w:vAlign w:val="center"/>
          </w:tcPr>
          <w:p>
            <w:pPr>
              <w:spacing w:after="0"/>
            </w:pPr>
            <w:r/>
            <w:r>
              <w:rPr>
                <w:b w:val="0"/>
                <w:sz w:val="17"/>
              </w:rPr>
              <w:t>Sections 01-03; PosReportsAnalyticsWorkspace, table/filter/service components; ADR 0071 and frontend test guidance.</w:t>
            </w:r>
          </w:p>
        </w:tc>
      </w:tr>
    </w:tbl>
    <w:p>
      <w:pPr>
        <w:spacing w:after="20"/>
      </w:pPr>
    </w:p>
    <w:p>
      <w:pPr>
        <w:pStyle w:val="Heading1"/>
      </w:pPr>
      <w:r>
        <w:t>Plan Content</w:t>
      </w:r>
    </w:p>
    <w:p>
      <w:r>
        <w:t>The UI should extend the current report workspace rather than create a second report navigation. The item view should be a complete paginated Item Sales table; existing overview Top Selling Items remains a summary component unless a later compatibility decision explicitly changes it.</w:t>
      </w:r>
    </w:p>
    <w:p>
      <w:pPr>
        <w:pStyle w:val="Heading1"/>
      </w:pPr>
      <w:r>
        <w:t>Information Architecture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592"/>
            <w:shd w:fill="1F4E79"/>
            <w:vAlign w:val="center"/>
          </w:tcPr>
          <w:p>
            <w:pPr>
              <w:spacing w:after="0"/>
            </w:pPr>
            <w:r/>
            <w:r>
              <w:rPr>
                <w:b/>
                <w:color w:val="FFFFFF"/>
                <w:sz w:val="17"/>
              </w:rPr>
              <w:t>View</w:t>
            </w:r>
          </w:p>
        </w:tc>
        <w:tc>
          <w:tcPr>
            <w:tcW w:type="dxa" w:w="8208"/>
            <w:shd w:fill="1F4E79"/>
            <w:vAlign w:val="center"/>
          </w:tcPr>
          <w:p>
            <w:pPr>
              <w:spacing w:after="0"/>
            </w:pPr>
            <w:r/>
            <w:r>
              <w:rPr>
                <w:b/>
                <w:color w:val="FFFFFF"/>
                <w:sz w:val="17"/>
              </w:rPr>
              <w:t>UI behavior</w:t>
            </w:r>
          </w:p>
        </w:tc>
      </w:tr>
      <w:tr>
        <w:tc>
          <w:tcPr>
            <w:tcW w:type="dxa" w:w="2592"/>
            <w:vAlign w:val="center"/>
          </w:tcPr>
          <w:p>
            <w:pPr>
              <w:spacing w:after="0"/>
            </w:pPr>
            <w:r/>
            <w:r>
              <w:rPr>
                <w:b w:val="0"/>
                <w:sz w:val="17"/>
              </w:rPr>
              <w:t>Hourly Sales</w:t>
            </w:r>
          </w:p>
        </w:tc>
        <w:tc>
          <w:tcPr>
            <w:tcW w:type="dxa" w:w="8208"/>
            <w:vAlign w:val="center"/>
          </w:tcPr>
          <w:p>
            <w:pPr>
              <w:spacing w:after="0"/>
            </w:pPr>
            <w:r/>
            <w:r>
              <w:rPr>
                <w:b w:val="0"/>
                <w:sz w:val="17"/>
              </w:rPr>
              <w:t>Report tab with local-hour rows, chronological default sort, date and existing shared filters, totals row/cards and CSV/print actions.</w:t>
            </w:r>
          </w:p>
        </w:tc>
      </w:tr>
      <w:tr>
        <w:tc>
          <w:tcPr>
            <w:tcW w:type="dxa" w:w="2592"/>
            <w:shd w:fill="F5F8FC"/>
            <w:vAlign w:val="center"/>
          </w:tcPr>
          <w:p>
            <w:pPr>
              <w:spacing w:after="0"/>
            </w:pPr>
            <w:r/>
            <w:r>
              <w:rPr>
                <w:b w:val="0"/>
                <w:sz w:val="17"/>
              </w:rPr>
              <w:t>Item Sales</w:t>
            </w:r>
          </w:p>
        </w:tc>
        <w:tc>
          <w:tcPr>
            <w:tcW w:type="dxa" w:w="8208"/>
            <w:shd w:fill="F5F8FC"/>
            <w:vAlign w:val="center"/>
          </w:tcPr>
          <w:p>
            <w:pPr>
              <w:spacing w:after="0"/>
            </w:pPr>
            <w:r/>
            <w:r>
              <w:rPr>
                <w:b w:val="0"/>
                <w:sz w:val="17"/>
              </w:rPr>
              <w:t>Report tab with paginated item rows, sortable net sales/quantity/orders fields, category label, totals and current filters.</w:t>
            </w:r>
          </w:p>
        </w:tc>
      </w:tr>
      <w:tr>
        <w:tc>
          <w:tcPr>
            <w:tcW w:type="dxa" w:w="2592"/>
            <w:vAlign w:val="center"/>
          </w:tcPr>
          <w:p>
            <w:pPr>
              <w:spacing w:after="0"/>
            </w:pPr>
            <w:r/>
            <w:r>
              <w:rPr>
                <w:b w:val="0"/>
                <w:sz w:val="17"/>
              </w:rPr>
              <w:t>Sales by Category</w:t>
            </w:r>
          </w:p>
        </w:tc>
        <w:tc>
          <w:tcPr>
            <w:tcW w:type="dxa" w:w="8208"/>
            <w:vAlign w:val="center"/>
          </w:tcPr>
          <w:p>
            <w:pPr>
              <w:spacing w:after="0"/>
            </w:pPr>
            <w:r/>
            <w:r>
              <w:rPr>
                <w:b w:val="0"/>
                <w:sz w:val="17"/>
              </w:rPr>
              <w:t>Report tab with category rows, sortable net sales/quantity/orders fields, item count, totals and current filters.</w:t>
            </w:r>
          </w:p>
        </w:tc>
      </w:tr>
      <w:tr>
        <w:tc>
          <w:tcPr>
            <w:tcW w:type="dxa" w:w="2592"/>
            <w:shd w:fill="F5F8FC"/>
            <w:vAlign w:val="center"/>
          </w:tcPr>
          <w:p>
            <w:pPr>
              <w:spacing w:after="0"/>
            </w:pPr>
            <w:r/>
            <w:r>
              <w:rPr>
                <w:b w:val="0"/>
                <w:sz w:val="17"/>
              </w:rPr>
              <w:t>Existing reports</w:t>
            </w:r>
          </w:p>
        </w:tc>
        <w:tc>
          <w:tcPr>
            <w:tcW w:type="dxa" w:w="8208"/>
            <w:shd w:fill="F5F8FC"/>
            <w:vAlign w:val="center"/>
          </w:tcPr>
          <w:p>
            <w:pPr>
              <w:spacing w:after="0"/>
            </w:pPr>
            <w:r/>
            <w:r>
              <w:rPr>
                <w:b w:val="0"/>
                <w:sz w:val="17"/>
              </w:rPr>
              <w:t>Remain available. Current overview, sales, comparison, profit/loss and operations states are not removed by this plan.</w:t>
            </w:r>
          </w:p>
        </w:tc>
      </w:tr>
    </w:tbl>
    <w:p>
      <w:pPr>
        <w:spacing w:after="20"/>
      </w:pPr>
    </w:p>
    <w:p>
      <w:pPr>
        <w:pStyle w:val="Heading1"/>
      </w:pPr>
      <w:r>
        <w:t>Component and Service Changes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3384"/>
            <w:shd w:fill="1F4E79"/>
            <w:vAlign w:val="center"/>
          </w:tcPr>
          <w:p>
            <w:pPr>
              <w:spacing w:after="0"/>
            </w:pPr>
            <w:r/>
            <w:r>
              <w:rPr>
                <w:b/>
                <w:color w:val="FFFFFF"/>
                <w:sz w:val="17"/>
              </w:rPr>
              <w:t>Component</w:t>
            </w:r>
          </w:p>
        </w:tc>
        <w:tc>
          <w:tcPr>
            <w:tcW w:type="dxa" w:w="7416"/>
            <w:shd w:fill="1F4E79"/>
            <w:vAlign w:val="center"/>
          </w:tcPr>
          <w:p>
            <w:pPr>
              <w:spacing w:after="0"/>
            </w:pPr>
            <w:r/>
            <w:r>
              <w:rPr>
                <w:b/>
                <w:color w:val="FFFFFF"/>
                <w:sz w:val="17"/>
              </w:rPr>
              <w:t>Change</w:t>
            </w:r>
          </w:p>
        </w:tc>
      </w:tr>
      <w:tr>
        <w:tc>
          <w:tcPr>
            <w:tcW w:type="dxa" w:w="3384"/>
            <w:vAlign w:val="center"/>
          </w:tcPr>
          <w:p>
            <w:pPr>
              <w:spacing w:after="0"/>
            </w:pPr>
            <w:r/>
            <w:r>
              <w:rPr>
                <w:b w:val="0"/>
                <w:sz w:val="17"/>
              </w:rPr>
              <w:t>PosReportsAnalyticsWorkspace.jsx</w:t>
            </w:r>
          </w:p>
        </w:tc>
        <w:tc>
          <w:tcPr>
            <w:tcW w:type="dxa" w:w="7416"/>
            <w:vAlign w:val="center"/>
          </w:tcPr>
          <w:p>
            <w:pPr>
              <w:spacing w:after="0"/>
            </w:pPr>
            <w:r/>
            <w:r>
              <w:rPr>
                <w:b w:val="0"/>
                <w:sz w:val="17"/>
              </w:rPr>
              <w:t>Add report-tab definitions, selected-breakdown state, request lifecycle, pagination/sort state, response mapping, stale/offline behavior and view dispatch.</w:t>
            </w:r>
          </w:p>
        </w:tc>
      </w:tr>
      <w:tr>
        <w:tc>
          <w:tcPr>
            <w:tcW w:type="dxa" w:w="3384"/>
            <w:shd w:fill="F5F8FC"/>
            <w:vAlign w:val="center"/>
          </w:tcPr>
          <w:p>
            <w:pPr>
              <w:spacing w:after="0"/>
            </w:pPr>
            <w:r/>
            <w:r>
              <w:rPr>
                <w:b w:val="0"/>
                <w:sz w:val="17"/>
              </w:rPr>
              <w:t>New breakdown table components</w:t>
            </w:r>
          </w:p>
        </w:tc>
        <w:tc>
          <w:tcPr>
            <w:tcW w:type="dxa" w:w="7416"/>
            <w:shd w:fill="F5F8FC"/>
            <w:vAlign w:val="center"/>
          </w:tcPr>
          <w:p>
            <w:pPr>
              <w:spacing w:after="0"/>
            </w:pPr>
            <w:r/>
            <w:r>
              <w:rPr>
                <w:b w:val="0"/>
                <w:sz w:val="17"/>
              </w:rPr>
              <w:t>Create focused HourlySalesTable, ItemSalesTable and CategorySalesTable components, or a shared typed table shell with report-specific columns. Keep calculations out of presentation.</w:t>
            </w:r>
          </w:p>
        </w:tc>
      </w:tr>
      <w:tr>
        <w:tc>
          <w:tcPr>
            <w:tcW w:type="dxa" w:w="3384"/>
            <w:vAlign w:val="center"/>
          </w:tcPr>
          <w:p>
            <w:pPr>
              <w:spacing w:after="0"/>
            </w:pPr>
            <w:r/>
            <w:r>
              <w:rPr>
                <w:b w:val="0"/>
                <w:sz w:val="17"/>
              </w:rPr>
              <w:t>PosReportsFilterPanel.jsx</w:t>
            </w:r>
          </w:p>
        </w:tc>
        <w:tc>
          <w:tcPr>
            <w:tcW w:type="dxa" w:w="7416"/>
            <w:vAlign w:val="center"/>
          </w:tcPr>
          <w:p>
            <w:pPr>
              <w:spacing w:after="0"/>
            </w:pPr>
            <w:r/>
            <w:r>
              <w:rPr>
                <w:b w:val="0"/>
                <w:sz w:val="17"/>
              </w:rPr>
              <w:t>Reuse date/location/cashier/payment/source/category controls. Make active filter chips and reset behavior work for breakdown views.</w:t>
            </w:r>
          </w:p>
        </w:tc>
      </w:tr>
      <w:tr>
        <w:tc>
          <w:tcPr>
            <w:tcW w:type="dxa" w:w="3384"/>
            <w:shd w:fill="F5F8FC"/>
            <w:vAlign w:val="center"/>
          </w:tcPr>
          <w:p>
            <w:pPr>
              <w:spacing w:after="0"/>
            </w:pPr>
            <w:r/>
            <w:r>
              <w:rPr>
                <w:b w:val="0"/>
                <w:sz w:val="17"/>
              </w:rPr>
              <w:t>posService.js</w:t>
            </w:r>
          </w:p>
        </w:tc>
        <w:tc>
          <w:tcPr>
            <w:tcW w:type="dxa" w:w="7416"/>
            <w:shd w:fill="F5F8FC"/>
            <w:vAlign w:val="center"/>
          </w:tcPr>
          <w:p>
            <w:pPr>
              <w:spacing w:after="0"/>
            </w:pPr>
            <w:r/>
            <w:r>
              <w:rPr>
                <w:b w:val="0"/>
                <w:sz w:val="17"/>
              </w:rPr>
              <w:t>Add a typed fetchPosReportBreakdown helper and extend export section mapping. Preserve existing overview helpers.</w:t>
            </w:r>
          </w:p>
        </w:tc>
      </w:tr>
      <w:tr>
        <w:tc>
          <w:tcPr>
            <w:tcW w:type="dxa" w:w="3384"/>
            <w:vAlign w:val="center"/>
          </w:tcPr>
          <w:p>
            <w:pPr>
              <w:spacing w:after="0"/>
            </w:pPr>
            <w:r/>
            <w:r>
              <w:rPr>
                <w:b w:val="0"/>
                <w:sz w:val="17"/>
              </w:rPr>
              <w:t>Offline snapshot</w:t>
            </w:r>
          </w:p>
        </w:tc>
        <w:tc>
          <w:tcPr>
            <w:tcW w:type="dxa" w:w="7416"/>
            <w:vAlign w:val="center"/>
          </w:tcPr>
          <w:p>
            <w:pPr>
              <w:spacing w:after="0"/>
            </w:pPr>
            <w:r/>
            <w:r>
              <w:rPr>
                <w:b w:val="0"/>
                <w:sz w:val="17"/>
              </w:rPr>
              <w:t>Version snapshot keys/data so a cached breakdown cannot be mistaken for current data. Show timestamp and stale state; if no breakdown cache exists, show a clear unavailable-offline state.</w:t>
            </w:r>
          </w:p>
        </w:tc>
      </w:tr>
      <w:tr>
        <w:tc>
          <w:tcPr>
            <w:tcW w:type="dxa" w:w="3384"/>
            <w:shd w:fill="F5F8FC"/>
            <w:vAlign w:val="center"/>
          </w:tcPr>
          <w:p>
            <w:pPr>
              <w:spacing w:after="0"/>
            </w:pPr>
            <w:r/>
            <w:r>
              <w:rPr>
                <w:b w:val="0"/>
                <w:sz w:val="17"/>
              </w:rPr>
              <w:t>Tests</w:t>
            </w:r>
          </w:p>
        </w:tc>
        <w:tc>
          <w:tcPr>
            <w:tcW w:type="dxa" w:w="7416"/>
            <w:shd w:fill="F5F8FC"/>
            <w:vAlign w:val="center"/>
          </w:tcPr>
          <w:p>
            <w:pPr>
              <w:spacing w:after="0"/>
            </w:pPr>
            <w:r/>
            <w:r>
              <w:rPr>
                <w:b w:val="0"/>
                <w:sz w:val="17"/>
              </w:rPr>
              <w:t>Add web-core contract/component tests for tab selection, query params, mapping, pagination, export, error, empty, offline and responsive rendering.</w:t>
            </w:r>
          </w:p>
        </w:tc>
      </w:tr>
    </w:tbl>
    <w:p>
      <w:pPr>
        <w:spacing w:after="20"/>
      </w:pPr>
    </w:p>
    <w:p>
      <w:pPr>
        <w:pStyle w:val="Heading1"/>
      </w:pPr>
      <w:r>
        <w:t>UI Data and State Rules</w:t>
      </w:r>
    </w:p>
    <w:p>
      <w:pPr>
        <w:pStyle w:val="ListBullet"/>
      </w:pPr>
      <w:r>
        <w:t>Only request the active breakdown on demand, or use a debounced request when filters change; do not fetch all three high-cardinality datasets on every page load.</w:t>
      </w:r>
    </w:p>
    <w:p>
      <w:pPr>
        <w:pStyle w:val="ListBullet"/>
      </w:pPr>
      <w:r>
        <w:t>Reset page to 1 when date range, scope, filters, breakdown or sort changes. Keep selected filters visible and keep applied_filters from the server as the display authority.</w:t>
      </w:r>
    </w:p>
    <w:p>
      <w:pPr>
        <w:pStyle w:val="ListBullet"/>
      </w:pPr>
      <w:r>
        <w:t>Do not calculate financial totals from formatted strings in the browser. Render server summary and row fields as supplied.</w:t>
      </w:r>
    </w:p>
    <w:p>
      <w:pPr>
        <w:pStyle w:val="ListBullet"/>
      </w:pPr>
      <w:r>
        <w:t>Show a clear distinction between no matching rows, authorization failure, validation failure, network failure and stale offline data.</w:t>
      </w:r>
    </w:p>
    <w:p>
      <w:pPr>
        <w:pStyle w:val="ListBullet"/>
      </w:pPr>
      <w:r>
        <w:t>Export submits the current breakdown, filters, pagination/sort policy and location scope to the server. The UI must not build a CSV from only the current page unless the API explicitly defines that as the export contract.</w:t>
      </w:r>
    </w:p>
    <w:p>
      <w:pPr>
        <w:pStyle w:val="ListBullet"/>
      </w:pPr>
      <w:r>
        <w:t>Print output must include report title, range, timezone, applied filters, generated timestamp, summary and visible rows; avoid printing navigation chrome.</w:t>
      </w:r>
    </w:p>
    <w:p>
      <w:pPr>
        <w:pStyle w:val="Heading1"/>
      </w:pPr>
      <w:r>
        <w:t>Accessibility and Responsive Behavior</w:t>
      </w:r>
    </w:p>
    <w:p>
      <w:pPr>
        <w:pStyle w:val="ListBullet"/>
      </w:pPr>
      <w:r>
        <w:t>Tabs use keyboard-operable buttons with selected state; report tables have semantic headers and accessible labels for sort controls.</w:t>
      </w:r>
    </w:p>
    <w:p>
      <w:pPr>
        <w:pStyle w:val="ListBullet"/>
      </w:pPr>
      <w:r>
        <w:t>Currency, quantity and percentage values have consistent formatting and do not rely on color alone for meaning.</w:t>
      </w:r>
    </w:p>
    <w:p>
      <w:pPr>
        <w:pStyle w:val="ListBullet"/>
      </w:pPr>
      <w:r>
        <w:t>Wide tables remain usable on narrow screens through the existing responsive table pattern or horizontal scrolling with a visible affordance.</w:t>
      </w:r>
    </w:p>
    <w:p>
      <w:pPr>
        <w:pStyle w:val="ListBullet"/>
      </w:pPr>
      <w:r>
        <w:t>Loading and error states are announced/visible, and focus remains predictable after tab, filter and pagination changes.</w:t>
      </w:r>
    </w:p>
    <w:p>
      <w:pPr>
        <w:pStyle w:val="Heading1"/>
      </w:pPr>
      <w:r>
        <w:t>Offline and Compatibility Plan</w:t>
      </w:r>
    </w:p>
    <w:p>
      <w:r>
        <w:t>The current workspace stores an overview snapshot. The new breakdown request should use a versioned snapshot envelope that distinguishes overview and breakdown data, includes query identity, scope identity, generated_at and stale status. Cached data is display-only and must never enable writes. If the user is offline and the requested query is not cached, render the existing offline fallback pattern instead of showing an empty report that looks authoritative.</w:t>
      </w:r>
    </w:p>
    <w:p>
      <w:pPr>
        <w:pStyle w:val="Heading1"/>
      </w:pPr>
      <w:r>
        <w:t>Build and Test Routing</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c>
          <w:tcPr>
            <w:tcW w:type="dxa" w:w="2880"/>
            <w:shd w:fill="1F4E79"/>
            <w:vAlign w:val="center"/>
          </w:tcPr>
          <w:p>
            <w:pPr>
              <w:spacing w:after="0"/>
            </w:pPr>
            <w:r/>
            <w:r>
              <w:rPr>
                <w:b/>
                <w:color w:val="FFFFFF"/>
                <w:sz w:val="17"/>
              </w:rPr>
              <w:t>Surface</w:t>
            </w:r>
          </w:p>
        </w:tc>
        <w:tc>
          <w:tcPr>
            <w:tcW w:type="dxa" w:w="7920"/>
            <w:shd w:fill="1F4E79"/>
            <w:vAlign w:val="center"/>
          </w:tcPr>
          <w:p>
            <w:pPr>
              <w:spacing w:after="0"/>
            </w:pPr>
            <w:r/>
            <w:r>
              <w:rPr>
                <w:b/>
                <w:color w:val="FFFFFF"/>
                <w:sz w:val="17"/>
              </w:rPr>
              <w:t>Required verification</w:t>
            </w:r>
          </w:p>
        </w:tc>
      </w:tr>
      <w:tr>
        <w:tc>
          <w:tcPr>
            <w:tcW w:type="dxa" w:w="2880"/>
            <w:vAlign w:val="center"/>
          </w:tcPr>
          <w:p>
            <w:pPr>
              <w:spacing w:after="0"/>
            </w:pPr>
            <w:r/>
            <w:r>
              <w:rPr>
                <w:b w:val="0"/>
                <w:sz w:val="17"/>
              </w:rPr>
              <w:t>packages/web-core</w:t>
            </w:r>
          </w:p>
        </w:tc>
        <w:tc>
          <w:tcPr>
            <w:tcW w:type="dxa" w:w="7920"/>
            <w:vAlign w:val="center"/>
          </w:tcPr>
          <w:p>
            <w:pPr>
              <w:spacing w:after="0"/>
            </w:pPr>
            <w:r/>
            <w:r>
              <w:rPr>
                <w:b w:val="0"/>
                <w:sz w:val="17"/>
              </w:rPr>
              <w:t>Run focused shared component/contract tests through the supported apps/dgfy-ims test runner.</w:t>
            </w:r>
          </w:p>
        </w:tc>
      </w:tr>
      <w:tr>
        <w:tc>
          <w:tcPr>
            <w:tcW w:type="dxa" w:w="2880"/>
            <w:shd w:fill="F5F8FC"/>
            <w:vAlign w:val="center"/>
          </w:tcPr>
          <w:p>
            <w:pPr>
              <w:spacing w:after="0"/>
            </w:pPr>
            <w:r/>
            <w:r>
              <w:rPr>
                <w:b w:val="0"/>
                <w:sz w:val="17"/>
              </w:rPr>
              <w:t>apps/dgfy-pos</w:t>
            </w:r>
          </w:p>
        </w:tc>
        <w:tc>
          <w:tcPr>
            <w:tcW w:type="dxa" w:w="7920"/>
            <w:shd w:fill="F5F8FC"/>
            <w:vAlign w:val="center"/>
          </w:tcPr>
          <w:p>
            <w:pPr>
              <w:spacing w:after="0"/>
            </w:pPr>
            <w:r/>
            <w:r>
              <w:rPr>
                <w:b w:val="0"/>
                <w:sz w:val="17"/>
              </w:rPr>
              <w:t>Run standalone POS build and any app-owned checks because this is the target back-office/POS surface.</w:t>
            </w:r>
          </w:p>
        </w:tc>
      </w:tr>
      <w:tr>
        <w:tc>
          <w:tcPr>
            <w:tcW w:type="dxa" w:w="2880"/>
            <w:vAlign w:val="center"/>
          </w:tcPr>
          <w:p>
            <w:pPr>
              <w:spacing w:after="0"/>
            </w:pPr>
            <w:r/>
            <w:r>
              <w:rPr>
                <w:b w:val="0"/>
                <w:sz w:val="17"/>
              </w:rPr>
              <w:t>apps/dgfy-ims</w:t>
            </w:r>
          </w:p>
        </w:tc>
        <w:tc>
          <w:tcPr>
            <w:tcW w:type="dxa" w:w="7920"/>
            <w:vAlign w:val="center"/>
          </w:tcPr>
          <w:p>
            <w:pPr>
              <w:spacing w:after="0"/>
            </w:pPr>
            <w:r/>
            <w:r>
              <w:rPr>
                <w:b w:val="0"/>
                <w:sz w:val="17"/>
              </w:rPr>
              <w:t>Verify shared web-core import/test compatibility per ADR 0071; run its build if changed-path impact requires it.</w:t>
            </w:r>
          </w:p>
        </w:tc>
      </w:tr>
      <w:tr>
        <w:tc>
          <w:tcPr>
            <w:tcW w:type="dxa" w:w="2880"/>
            <w:shd w:fill="F5F8FC"/>
            <w:vAlign w:val="center"/>
          </w:tcPr>
          <w:p>
            <w:pPr>
              <w:spacing w:after="0"/>
            </w:pPr>
            <w:r/>
            <w:r>
              <w:rPr>
                <w:b w:val="0"/>
                <w:sz w:val="17"/>
              </w:rPr>
              <w:t>apps/dgfy-storefront</w:t>
            </w:r>
          </w:p>
        </w:tc>
        <w:tc>
          <w:tcPr>
            <w:tcW w:type="dxa" w:w="7920"/>
            <w:shd w:fill="F5F8FC"/>
            <w:vAlign w:val="center"/>
          </w:tcPr>
          <w:p>
            <w:pPr>
              <w:spacing w:after="0"/>
            </w:pPr>
            <w:r/>
            <w:r>
              <w:rPr>
                <w:b w:val="0"/>
                <w:sz w:val="17"/>
              </w:rPr>
              <w:t>Run only if dependency/path analysis shows the changed shared module is bundled there; document the decision.</w:t>
            </w:r>
          </w:p>
        </w:tc>
      </w:tr>
    </w:tbl>
    <w:p>
      <w:pPr>
        <w:spacing w:after="20"/>
      </w:pPr>
    </w:p>
    <w:p>
      <w:pPr>
        <w:pStyle w:val="Heading1"/>
      </w:pPr>
      <w:r>
        <w:t>Confirmed Facts</w:t>
      </w:r>
    </w:p>
    <w:p>
      <w:pPr>
        <w:pStyle w:val="ListBullet"/>
      </w:pPr>
      <w:r>
        <w:t>The workspace already owns report tab state, filters, overview fetch, export action and offline snapshot behavior.</w:t>
      </w:r>
    </w:p>
    <w:p>
      <w:pPr>
        <w:pStyle w:val="ListBullet"/>
      </w:pPr>
      <w:r>
        <w:t>The existing top-items and sales tables provide visual and formatting conventions.</w:t>
      </w:r>
    </w:p>
    <w:p>
      <w:pPr>
        <w:pStyle w:val="ListBullet"/>
      </w:pPr>
      <w:r>
        <w:t>The POS app consumes shared web-core and is the intended surface for back-office-level reporting.</w:t>
      </w:r>
    </w:p>
    <w:p>
      <w:pPr>
        <w:pStyle w:val="Heading1"/>
      </w:pPr>
      <w:r>
        <w:t>Assumptions</w:t>
      </w:r>
    </w:p>
    <w:p>
      <w:pPr>
        <w:pStyle w:val="ListBullet"/>
      </w:pPr>
      <w:r>
        <w:t>A new breakdown request can be loaded on demand without a global report state library.</w:t>
      </w:r>
    </w:p>
    <w:p>
      <w:pPr>
        <w:pStyle w:val="ListBullet"/>
      </w:pPr>
      <w:r>
        <w:t>Server pagination is acceptable in the report table.</w:t>
      </w:r>
    </w:p>
    <w:p>
      <w:pPr>
        <w:pStyle w:val="ListBullet"/>
      </w:pPr>
      <w:r>
        <w:t>The current print behavior can be extended without a new print renderer.</w:t>
      </w:r>
    </w:p>
    <w:p>
      <w:pPr>
        <w:pStyle w:val="Heading1"/>
      </w:pPr>
      <w:r>
        <w:t>Requirements Covered</w:t>
      </w:r>
    </w:p>
    <w:p>
      <w:pPr>
        <w:pStyle w:val="ListBullet"/>
      </w:pPr>
      <w:r>
        <w:t>FR-REP-001 to 005</w:t>
      </w:r>
    </w:p>
    <w:p>
      <w:pPr>
        <w:pStyle w:val="ListBullet"/>
      </w:pPr>
      <w:r>
        <w:t>UI-REP-001 to 006</w:t>
      </w:r>
    </w:p>
    <w:p>
      <w:pPr>
        <w:pStyle w:val="ListBullet"/>
      </w:pPr>
      <w:r>
        <w:t>NFR-REP-003</w:t>
      </w:r>
    </w:p>
    <w:p>
      <w:pPr>
        <w:pStyle w:val="ListBullet"/>
      </w:pPr>
      <w:r>
        <w:t>REP-REP-002 to 004</w:t>
      </w:r>
    </w:p>
    <w:p>
      <w:pPr>
        <w:pStyle w:val="Heading1"/>
      </w:pPr>
      <w:r>
        <w:t>Affected Components</w:t>
      </w:r>
    </w:p>
    <w:p>
      <w:pPr>
        <w:pStyle w:val="ListBullet"/>
      </w:pPr>
      <w:r>
        <w:t>packages/web-core/src/features/pos/components/PosReportsAnalyticsWorkspace.jsx</w:t>
      </w:r>
    </w:p>
    <w:p>
      <w:pPr>
        <w:pStyle w:val="ListBullet"/>
      </w:pPr>
      <w:r>
        <w:t>PosReportsFilterPanel.jsx</w:t>
      </w:r>
    </w:p>
    <w:p>
      <w:pPr>
        <w:pStyle w:val="ListBullet"/>
      </w:pPr>
      <w:r>
        <w:t>PosReportsTopItemsTable.jsx and PosReportsSalesTable.jsx</w:t>
      </w:r>
    </w:p>
    <w:p>
      <w:pPr>
        <w:pStyle w:val="ListBullet"/>
      </w:pPr>
      <w:r>
        <w:t>packages/web-core/src/features/pos/services/posService.js</w:t>
      </w:r>
    </w:p>
    <w:p>
      <w:pPr>
        <w:pStyle w:val="ListBullet"/>
      </w:pPr>
      <w:r>
        <w:t>shared web-core tests</w:t>
      </w:r>
    </w:p>
    <w:p>
      <w:pPr>
        <w:pStyle w:val="Heading1"/>
      </w:pPr>
      <w:r>
        <w:t>Risks</w:t>
      </w:r>
    </w:p>
    <w:p>
      <w:pPr>
        <w:pStyle w:val="ListBullet"/>
      </w:pPr>
      <w:r>
        <w:t>Stale offline rows could be misread as current.</w:t>
      </w:r>
    </w:p>
    <w:p>
      <w:pPr>
        <w:pStyle w:val="ListBullet"/>
      </w:pPr>
      <w:r>
        <w:t>A paginated export could omit rows if the UI sends page parameters unintentionally.</w:t>
      </w:r>
    </w:p>
    <w:p>
      <w:pPr>
        <w:pStyle w:val="ListBullet"/>
      </w:pPr>
      <w:r>
        <w:t>Shared web-core changes can break IMS or another consumer if imports are not verified.</w:t>
      </w:r>
    </w:p>
    <w:p>
      <w:pPr>
        <w:pStyle w:val="Heading1"/>
      </w:pPr>
      <w:r>
        <w:t>Tests Required</w:t>
      </w:r>
    </w:p>
    <w:p>
      <w:pPr>
        <w:pStyle w:val="ListBullet"/>
      </w:pPr>
      <w:r>
        <w:t>Focused component contracts</w:t>
      </w:r>
    </w:p>
    <w:p>
      <w:pPr>
        <w:pStyle w:val="ListBullet"/>
      </w:pPr>
      <w:r>
        <w:t>Responsive visual checks</w:t>
      </w:r>
    </w:p>
    <w:p>
      <w:pPr>
        <w:pStyle w:val="ListBullet"/>
      </w:pPr>
      <w:r>
        <w:t>Keyboard/accessibility checks</w:t>
      </w:r>
    </w:p>
    <w:p>
      <w:pPr>
        <w:pStyle w:val="ListBullet"/>
      </w:pPr>
      <w:r>
        <w:t>POS and shared-app builds</w:t>
      </w:r>
    </w:p>
    <w:p>
      <w:pPr>
        <w:pStyle w:val="ListBullet"/>
      </w:pPr>
      <w:r>
        <w:t>Offline snapshot tests</w:t>
      </w:r>
    </w:p>
    <w:p>
      <w:pPr>
        <w:pStyle w:val="Heading1"/>
      </w:pPr>
      <w:r>
        <w:t>Acceptance Criteria</w:t>
      </w:r>
    </w:p>
    <w:p>
      <w:pPr>
        <w:pStyle w:val="ListBullet"/>
      </w:pPr>
      <w:r>
        <w:t>All three views are reachable from Reports.</w:t>
      </w:r>
    </w:p>
    <w:p>
      <w:pPr>
        <w:pStyle w:val="ListBullet"/>
      </w:pPr>
      <w:r>
        <w:t>Current filters are preserved and visible.</w:t>
      </w:r>
    </w:p>
    <w:p>
      <w:pPr>
        <w:pStyle w:val="ListBullet"/>
      </w:pPr>
      <w:r>
        <w:t>No report view enables a mutation.</w:t>
      </w:r>
    </w:p>
    <w:p>
      <w:pPr>
        <w:pStyle w:val="ListBullet"/>
      </w:pPr>
      <w:r>
        <w:t>Exports and print reflect the active breakdown and filters.</w:t>
      </w:r>
    </w:p>
    <w:p>
      <w:pPr>
        <w:pStyle w:val="ListBullet"/>
      </w:pPr>
      <w:r>
        <w:t>Existing report tabs remain functional.</w:t>
      </w:r>
    </w:p>
    <w:p>
      <w:pPr>
        <w:pStyle w:val="Heading1"/>
      </w:pPr>
      <w:r>
        <w:t>Execution Dependencies</w:t>
      </w:r>
    </w:p>
    <w:p>
      <w:pPr>
        <w:pStyle w:val="ListBullet"/>
      </w:pPr>
      <w:r>
        <w:t>RPT-03 depends on the Section 03 contract.</w:t>
      </w:r>
    </w:p>
    <w:p>
      <w:pPr>
        <w:pStyle w:val="ListBullet"/>
      </w:pPr>
      <w:r>
        <w:t>Frontend tests must be added before manual staging QA.</w:t>
      </w:r>
    </w:p>
    <w:p>
      <w:pPr>
        <w:pStyle w:val="ListBullet"/>
      </w:pPr>
      <w:r>
        <w:t>Affected app build list must be confirmed from dependency analysis.</w:t>
      </w:r>
    </w:p>
    <w:p>
      <w:pPr>
        <w:pStyle w:val="Heading1"/>
      </w:pPr>
      <w:r>
        <w:t>Cross-References</w:t>
      </w:r>
    </w:p>
    <w:p>
      <w:pPr>
        <w:pStyle w:val="ListBullet"/>
      </w:pPr>
      <w:r>
        <w:t>ADR 0071</w:t>
      </w:r>
    </w:p>
    <w:p>
      <w:pPr>
        <w:pStyle w:val="ListBullet"/>
      </w:pPr>
      <w:r>
        <w:t>docs/testing/README.md</w:t>
      </w:r>
    </w:p>
    <w:p>
      <w:pPr>
        <w:pStyle w:val="ListBullet"/>
      </w:pPr>
      <w:r>
        <w:t>docs/features/IMS_POS_SALES_UX_JOURNEY.md</w:t>
      </w:r>
    </w:p>
    <w:p>
      <w:pPr>
        <w:pStyle w:val="ListBullet"/>
      </w:pPr>
      <w:r>
        <w:t>Current POS report component tests</w:t>
      </w:r>
    </w:p>
    <w:sectPr w:rsidR="00FC693F" w:rsidRPr="0006063C" w:rsidSect="00034616">
      <w:headerReference w:type="default" r:id="rId9"/>
      <w:footerReference w:type="default" r:id="rId10"/>
      <w:pgSz w:w="12240" w:h="15840"/>
      <w:pgMar w:top="965"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DGFY POS Reports Analytics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04_Frontend_Report_UI_and_Export_Plan.docx</dc:title>
  <dc:subject>Repository-grounded implementation plan</dc:subject>
  <dc:creator>Codex</dc:creator>
  <cp:keywords/>
  <dc:description>Plan only. No application code or database changes are included.</dc:description>
  <cp:lastModifiedBy/>
  <cp:revision>1</cp:revision>
  <dcterms:created xsi:type="dcterms:W3CDTF">2013-12-23T23:15:00Z</dcterms:created>
  <dcterms:modified xsi:type="dcterms:W3CDTF">2013-12-23T23:15:00Z</dcterms:modified>
  <cp:category/>
</cp:coreProperties>
</file>