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EXEC-03 Backend Data and API Plan</w:t>
      </w:r>
    </w:p>
    <w:p>
      <w:pPr>
        <w:jc w:val="center"/>
      </w:pPr>
      <w:r>
        <w:t>POS Reports Analytics — Full Verification Execution Record</w:t>
      </w:r>
    </w:p>
    <w:p>
      <w:r>
        <w:t>Date: 2026-09-28 | Branch: StagingPOS | Worktree: C:\xampp\htdocs\POS-DGFY\.worktrees\StagingPOS | Baseline: cccf6a942e7ba51e3ffaa9ff405f785cf13e389a</w:t>
      </w:r>
    </w:p>
    <w:p>
      <w:r>
        <w:t>Plan input: 03_Backend_Data_and_API_Plan.docx | Requirements input: 02_Requirements_and_Business_Rules.docx | Execution skill: plan-execution-full-verification-engine</w:t>
      </w:r>
    </w:p>
    <w:p>
      <w:pPr>
        <w:pStyle w:val="Heading1"/>
      </w:pPr>
      <w:r>
        <w:t>Final Status</w:t>
      </w:r>
    </w:p>
    <w:p>
      <w:r>
        <w:t>RPT-02 BACKEND ACCEPTANCE COMPLETE. The requested report backend contract, server aggregation, authorization boundary, pagination/sorting, and complete CSV export are implemented and verified by focused tests. Section 04/RPT-03 remains the next eligible implementation phase. The repository-wide authoritative ledger still records global Phase 347 as in_progress; this execution does not alter that ledger.</w:t>
      </w:r>
    </w:p>
    <w:p>
      <w:pPr>
        <w:pStyle w:val="Heading1"/>
      </w:pPr>
      <w:r>
        <w:t>Critical Assessment and Recommendation</w:t>
      </w:r>
    </w:p>
    <w:p>
      <w:r>
        <w:t>The existing overview already owned the normalized POS transaction-line financial pipeline and location scope. Creating a second calculation path would risk mismatched totals, deleted-item history drift, and authorization divergence. The implementation therefore extends that pipeline with an additive breakdown endpoint and makes the new exports call the same breakdown use case. No aggregate table or migration is justified without measured query-plan evidence.</w:t>
      </w:r>
    </w:p>
    <w:p>
      <w:pPr>
        <w:pStyle w:val="Heading1"/>
      </w:pPr>
      <w:r>
        <w:t>Execution Manifest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rPr>
              <w:t>ID</w:t>
            </w:r>
          </w:p>
        </w:tc>
        <w:tc>
          <w:tcPr>
            <w:tcW w:type="dxa" w:w="3360"/>
            <w:vAlign w:val="center"/>
            <w:shd w:fill="1F4E78"/>
          </w:tcPr>
          <w:p>
            <w:pPr>
              <w:spacing w:after="0"/>
            </w:pPr>
            <w:r>
              <w:rPr>
                <w:b/>
                <w:color w:val="FFFFFF"/>
              </w:rPr>
              <w:t>Execution action</w:t>
            </w:r>
          </w:p>
        </w:tc>
        <w:tc>
          <w:tcPr>
            <w:tcW w:type="dxa" w:w="3360"/>
            <w:vAlign w:val="center"/>
            <w:shd w:fill="1F4E78"/>
          </w:tcPr>
          <w:p>
            <w:pPr>
              <w:spacing w:after="0"/>
            </w:pPr>
            <w:r>
              <w:rPr>
                <w:b/>
                <w:color w:val="FFFFFF"/>
              </w:rPr>
              <w:t>Result</w:t>
            </w:r>
          </w:p>
        </w:tc>
      </w:tr>
      <w:tr>
        <w:tc>
          <w:tcPr>
            <w:tcW w:type="dxa" w:w="3360"/>
            <w:vAlign w:val="center"/>
          </w:tcPr>
          <w:p>
            <w:pPr>
              <w:spacing w:after="0"/>
            </w:pPr>
            <w:r>
              <w:t>EXEC-031</w:t>
            </w:r>
          </w:p>
        </w:tc>
        <w:tc>
          <w:tcPr>
            <w:tcW w:type="dxa" w:w="3360"/>
            <w:vAlign w:val="center"/>
          </w:tcPr>
          <w:p>
            <w:pPr>
              <w:spacing w:after="0"/>
            </w:pPr>
            <w:r>
              <w:t>Read the complete master plan, all six plan sections, and frozen Section 02 requirements before editing.</w:t>
            </w:r>
          </w:p>
        </w:tc>
        <w:tc>
          <w:tcPr>
            <w:tcW w:type="dxa" w:w="3360"/>
            <w:vAlign w:val="center"/>
          </w:tcPr>
          <w:p>
            <w:pPr>
              <w:spacing w:after="0"/>
            </w:pPr>
            <w:r>
              <w:t>VERIFIED</w:t>
            </w:r>
          </w:p>
        </w:tc>
      </w:tr>
      <w:tr>
        <w:tc>
          <w:tcPr>
            <w:tcW w:type="dxa" w:w="3360"/>
            <w:vAlign w:val="center"/>
          </w:tcPr>
          <w:p>
            <w:pPr>
              <w:spacing w:after="0"/>
            </w:pPr>
            <w:r>
              <w:t>EXEC-032</w:t>
            </w:r>
          </w:p>
        </w:tc>
        <w:tc>
          <w:tcPr>
            <w:tcW w:type="dxa" w:w="3360"/>
            <w:vAlign w:val="center"/>
          </w:tcPr>
          <w:p>
            <w:pPr>
              <w:spacing w:after="0"/>
            </w:pPr>
            <w:r>
              <w:t>Inspect current POS routes, validators, controller facade, use cases, repository, normalized line source, and repository contract.</w:t>
            </w:r>
          </w:p>
        </w:tc>
        <w:tc>
          <w:tcPr>
            <w:tcW w:type="dxa" w:w="3360"/>
            <w:vAlign w:val="center"/>
          </w:tcPr>
          <w:p>
            <w:pPr>
              <w:spacing w:after="0"/>
            </w:pPr>
            <w:r>
              <w:t>VERIFIED</w:t>
            </w:r>
          </w:p>
        </w:tc>
      </w:tr>
      <w:tr>
        <w:tc>
          <w:tcPr>
            <w:tcW w:type="dxa" w:w="3360"/>
            <w:vAlign w:val="center"/>
          </w:tcPr>
          <w:p>
            <w:pPr>
              <w:spacing w:after="0"/>
            </w:pPr>
            <w:r>
              <w:t>EXEC-033</w:t>
            </w:r>
          </w:p>
        </w:tc>
        <w:tc>
          <w:tcPr>
            <w:tcW w:type="dxa" w:w="3360"/>
            <w:vAlign w:val="center"/>
          </w:tcPr>
          <w:p>
            <w:pPr>
              <w:spacing w:after="0"/>
            </w:pPr>
            <w:r>
              <w:t>Implement hourly, item, and category aggregation over normalizeReportLineRows with stable keys and Manila time boundaries.</w:t>
            </w:r>
          </w:p>
        </w:tc>
        <w:tc>
          <w:tcPr>
            <w:tcW w:type="dxa" w:w="3360"/>
            <w:vAlign w:val="center"/>
          </w:tcPr>
          <w:p>
            <w:pPr>
              <w:spacing w:after="0"/>
            </w:pPr>
            <w:r>
              <w:t>COMPLETE</w:t>
            </w:r>
          </w:p>
        </w:tc>
      </w:tr>
      <w:tr>
        <w:tc>
          <w:tcPr>
            <w:tcW w:type="dxa" w:w="3360"/>
            <w:vAlign w:val="center"/>
          </w:tcPr>
          <w:p>
            <w:pPr>
              <w:spacing w:after="0"/>
            </w:pPr>
            <w:r>
              <w:t>EXEC-034</w:t>
            </w:r>
          </w:p>
        </w:tc>
        <w:tc>
          <w:tcPr>
            <w:tcW w:type="dxa" w:w="3360"/>
            <w:vAlign w:val="center"/>
          </w:tcPr>
          <w:p>
            <w:pPr>
              <w:spacing w:after="0"/>
            </w:pPr>
            <w:r>
              <w:t>Wire validation, route, handler, compatibility facade, singleton use case, location scope, and cashier self-scope.</w:t>
            </w:r>
          </w:p>
        </w:tc>
        <w:tc>
          <w:tcPr>
            <w:tcW w:type="dxa" w:w="3360"/>
            <w:vAlign w:val="center"/>
          </w:tcPr>
          <w:p>
            <w:pPr>
              <w:spacing w:after="0"/>
            </w:pPr>
            <w:r>
              <w:t>COMPLETE</w:t>
            </w:r>
          </w:p>
        </w:tc>
      </w:tr>
      <w:tr>
        <w:tc>
          <w:tcPr>
            <w:tcW w:type="dxa" w:w="3360"/>
            <w:vAlign w:val="center"/>
          </w:tcPr>
          <w:p>
            <w:pPr>
              <w:spacing w:after="0"/>
            </w:pPr>
            <w:r>
              <w:t>EXEC-035</w:t>
            </w:r>
          </w:p>
        </w:tc>
        <w:tc>
          <w:tcPr>
            <w:tcW w:type="dxa" w:w="3360"/>
            <w:vAlign w:val="center"/>
          </w:tcPr>
          <w:p>
            <w:pPr>
              <w:spacing w:after="0"/>
            </w:pPr>
            <w:r>
              <w:t>Extend CSV export for complete filtered hourly/item/category row sets without page truncation.</w:t>
            </w:r>
          </w:p>
        </w:tc>
        <w:tc>
          <w:tcPr>
            <w:tcW w:type="dxa" w:w="3360"/>
            <w:vAlign w:val="center"/>
          </w:tcPr>
          <w:p>
            <w:pPr>
              <w:spacing w:after="0"/>
            </w:pPr>
            <w:r>
              <w:t>COMPLETE</w:t>
            </w:r>
          </w:p>
        </w:tc>
      </w:tr>
      <w:tr>
        <w:tc>
          <w:tcPr>
            <w:tcW w:type="dxa" w:w="3360"/>
            <w:vAlign w:val="center"/>
          </w:tcPr>
          <w:p>
            <w:pPr>
              <w:spacing w:after="0"/>
            </w:pPr>
            <w:r>
              <w:t>EXEC-036</w:t>
            </w:r>
          </w:p>
        </w:tc>
        <w:tc>
          <w:tcPr>
            <w:tcW w:type="dxa" w:w="3360"/>
            <w:vAlign w:val="center"/>
          </w:tcPr>
          <w:p>
            <w:pPr>
              <w:spacing w:after="0"/>
            </w:pPr>
            <w:r>
              <w:t>Document the API and add the compliance impact declaration; confirm no schema operation is needed.</w:t>
            </w:r>
          </w:p>
        </w:tc>
        <w:tc>
          <w:tcPr>
            <w:tcW w:type="dxa" w:w="3360"/>
            <w:vAlign w:val="center"/>
          </w:tcPr>
          <w:p>
            <w:pPr>
              <w:spacing w:after="0"/>
            </w:pPr>
            <w:r>
              <w:t>COMPLETE</w:t>
            </w:r>
          </w:p>
        </w:tc>
      </w:tr>
      <w:tr>
        <w:tc>
          <w:tcPr>
            <w:tcW w:type="dxa" w:w="3360"/>
            <w:vAlign w:val="center"/>
          </w:tcPr>
          <w:p>
            <w:pPr>
              <w:spacing w:after="0"/>
            </w:pPr>
            <w:r>
              <w:t>EXEC-037</w:t>
            </w:r>
          </w:p>
        </w:tc>
        <w:tc>
          <w:tcPr>
            <w:tcW w:type="dxa" w:w="3360"/>
            <w:vAlign w:val="center"/>
          </w:tcPr>
          <w:p>
            <w:pPr>
              <w:spacing w:after="0"/>
            </w:pPr>
            <w:r>
              <w:t>Run focused, architecture, compliance, documentation, syntax, and regression verification.</w:t>
            </w:r>
          </w:p>
        </w:tc>
        <w:tc>
          <w:tcPr>
            <w:tcW w:type="dxa" w:w="3360"/>
            <w:vAlign w:val="center"/>
          </w:tcPr>
          <w:p>
            <w:pPr>
              <w:spacing w:after="0"/>
            </w:pPr>
            <w:r>
              <w:t>VERIFIED WITH ENVIRONMENT BASELINE LIMITATION</w:t>
            </w:r>
          </w:p>
        </w:tc>
      </w:tr>
    </w:tbl>
    <w:p>
      <w:pPr>
        <w:pStyle w:val="Heading1"/>
      </w:pPr>
      <w:r>
        <w:t>Implemented API Contract</w:t>
      </w:r>
    </w:p>
    <w:p>
      <w:r>
        <w:t>GET /api/v1/pos/reports/breakdowns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b/>
                <w:color w:val="FFFFFF"/>
              </w:rPr>
              <w:t>Contract part</w:t>
            </w:r>
          </w:p>
        </w:tc>
        <w:tc>
          <w:tcPr>
            <w:tcW w:type="dxa" w:w="5040"/>
            <w:vAlign w:val="center"/>
            <w:shd w:fill="1F4E78"/>
          </w:tcPr>
          <w:p>
            <w:pPr>
              <w:spacing w:after="0"/>
            </w:pPr>
            <w:r>
              <w:rPr>
                <w:b/>
                <w:color w:val="FFFFFF"/>
              </w:rPr>
              <w:t>Implemented behavior</w:t>
            </w:r>
          </w:p>
        </w:tc>
      </w:tr>
      <w:tr>
        <w:tc>
          <w:tcPr>
            <w:tcW w:type="dxa" w:w="5040"/>
            <w:vAlign w:val="center"/>
          </w:tcPr>
          <w:p>
            <w:pPr>
              <w:spacing w:after="0"/>
            </w:pPr>
            <w:r>
              <w:t>Required query</w:t>
            </w:r>
          </w:p>
        </w:tc>
        <w:tc>
          <w:tcPr>
            <w:tcW w:type="dxa" w:w="5040"/>
            <w:vAlign w:val="center"/>
          </w:tcPr>
          <w:p>
            <w:pPr>
              <w:spacing w:after="0"/>
            </w:pPr>
            <w:r>
              <w:t>date_from, date_to, breakdown=hourly|items|categories.</w:t>
            </w:r>
          </w:p>
        </w:tc>
      </w:tr>
      <w:tr>
        <w:tc>
          <w:tcPr>
            <w:tcW w:type="dxa" w:w="5040"/>
            <w:vAlign w:val="center"/>
          </w:tcPr>
          <w:p>
            <w:pPr>
              <w:spacing w:after="0"/>
            </w:pPr>
            <w:r>
              <w:t>Shared filters</w:t>
            </w:r>
          </w:p>
        </w:tc>
        <w:tc>
          <w:tcPr>
            <w:tcW w:type="dxa" w:w="5040"/>
            <w:vAlign w:val="center"/>
          </w:tcPr>
          <w:p>
            <w:pPr>
              <w:spacing w:after="0"/>
            </w:pPr>
            <w:r>
              <w:t>cashier_id, location_id, terminal_id, payment_type, source, category_id/category, page, limit.</w:t>
            </w:r>
          </w:p>
        </w:tc>
      </w:tr>
      <w:tr>
        <w:tc>
          <w:tcPr>
            <w:tcW w:type="dxa" w:w="5040"/>
            <w:vAlign w:val="center"/>
          </w:tcPr>
          <w:p>
            <w:pPr>
              <w:spacing w:after="0"/>
            </w:pPr>
            <w:r>
              <w:t>Sort</w:t>
            </w:r>
          </w:p>
        </w:tc>
        <w:tc>
          <w:tcPr>
            <w:tcW w:type="dxa" w:w="5040"/>
            <w:vAlign w:val="center"/>
          </w:tcPr>
          <w:p>
            <w:pPr>
              <w:spacing w:after="0"/>
            </w:pPr>
            <w:r>
              <w:t>Allowlisted fields and asc/desc direction; hourly defaults chronologically ascending; item/category default net_sales descending with stable key tie-breakers.</w:t>
            </w:r>
          </w:p>
        </w:tc>
      </w:tr>
      <w:tr>
        <w:tc>
          <w:tcPr>
            <w:tcW w:type="dxa" w:w="5040"/>
            <w:vAlign w:val="center"/>
          </w:tcPr>
          <w:p>
            <w:pPr>
              <w:spacing w:after="0"/>
            </w:pPr>
            <w:r>
              <w:t>Range</w:t>
            </w:r>
          </w:p>
        </w:tc>
        <w:tc>
          <w:tcPr>
            <w:tcW w:type="dxa" w:w="5040"/>
            <w:vAlign w:val="center"/>
          </w:tcPr>
          <w:p>
            <w:pPr>
              <w:spacing w:after="0"/>
            </w:pPr>
            <w:r>
              <w:t>Inclusive Manila business dates, Asia/Manila timezone, start_at and end_at_exclusive, maximum 366 days.</w:t>
            </w:r>
          </w:p>
        </w:tc>
      </w:tr>
      <w:tr>
        <w:tc>
          <w:tcPr>
            <w:tcW w:type="dxa" w:w="5040"/>
            <w:vAlign w:val="center"/>
          </w:tcPr>
          <w:p>
            <w:pPr>
              <w:spacing w:after="0"/>
            </w:pPr>
            <w:r>
              <w:t>Summary</w:t>
            </w:r>
          </w:p>
        </w:tc>
        <w:tc>
          <w:tcPr>
            <w:tcW w:type="dxa" w:w="5040"/>
            <w:vAlign w:val="center"/>
          </w:tcPr>
          <w:p>
            <w:pPr>
              <w:spacing w:after="0"/>
            </w:pPr>
            <w:r>
              <w:t>gross_sales, discounts, net_sales, refunds_voids, vatable_sales, vat, service_fees, cogs, profit/pos_profit_loss, total_transactions, total_items_sold, profit margin.</w:t>
            </w:r>
          </w:p>
        </w:tc>
      </w:tr>
      <w:tr>
        <w:tc>
          <w:tcPr>
            <w:tcW w:type="dxa" w:w="5040"/>
            <w:vAlign w:val="center"/>
          </w:tcPr>
          <w:p>
            <w:pPr>
              <w:spacing w:after="0"/>
            </w:pPr>
            <w:r>
              <w:t>Rows</w:t>
            </w:r>
          </w:p>
        </w:tc>
        <w:tc>
          <w:tcPr>
            <w:tcW w:type="dxa" w:w="5040"/>
            <w:vAlign w:val="center"/>
          </w:tcPr>
          <w:p>
            <w:pPr>
              <w:spacing w:after="0"/>
            </w:pPr>
            <w:r>
              <w:t>Hourly buckets; item rows with stable item/category keys, quantity, orders, financial metrics, average unit price, share; category rows with item count and share.</w:t>
            </w:r>
          </w:p>
        </w:tc>
      </w:tr>
      <w:tr>
        <w:tc>
          <w:tcPr>
            <w:tcW w:type="dxa" w:w="5040"/>
            <w:vAlign w:val="center"/>
          </w:tcPr>
          <w:p>
            <w:pPr>
              <w:spacing w:after="0"/>
            </w:pPr>
            <w:r>
              <w:t>Pagination</w:t>
            </w:r>
          </w:p>
        </w:tc>
        <w:tc>
          <w:tcPr>
            <w:tcW w:type="dxa" w:w="5040"/>
            <w:vAlign w:val="center"/>
          </w:tcPr>
          <w:p>
            <w:pPr>
              <w:spacing w:after="0"/>
            </w:pPr>
            <w:r>
              <w:t>page, limit, total, total_rows, total_pages, has_next.</w:t>
            </w:r>
          </w:p>
        </w:tc>
      </w:tr>
      <w:tr>
        <w:tc>
          <w:tcPr>
            <w:tcW w:type="dxa" w:w="5040"/>
            <w:vAlign w:val="center"/>
          </w:tcPr>
          <w:p>
            <w:pPr>
              <w:spacing w:after="0"/>
            </w:pPr>
            <w:r>
              <w:t>Export</w:t>
            </w:r>
          </w:p>
        </w:tc>
        <w:tc>
          <w:tcPr>
            <w:tcW w:type="dxa" w:w="5040"/>
            <w:vAlign w:val="center"/>
          </w:tcPr>
          <w:p>
            <w:pPr>
              <w:spacing w:after="0"/>
            </w:pPr>
            <w:r>
              <w:t>Existing /pos/reports/export accepts hourly, item_sales, category_sales and exports the complete filtered breakdown using the same calculations/scope.</w:t>
            </w:r>
          </w:p>
        </w:tc>
      </w:tr>
    </w:tbl>
    <w:p>
      <w:pPr>
        <w:pStyle w:val="Heading1"/>
      </w:pPr>
      <w:r>
        <w:t>Data Integrity and Financial Semantics</w:t>
      </w:r>
    </w:p>
    <w:p>
      <w:pPr>
        <w:pStyle w:val="ListBullet"/>
      </w:pPr>
      <w:r>
        <w:t>The repository reads the existing POS transaction/line include and invokes normalizeReportLineRows once; item/category/hourly views do not independently recalculate invoice totals.</w:t>
      </w:r>
    </w:p>
    <w:p>
      <w:pPr>
        <w:pStyle w:val="ListBullet"/>
      </w:pPr>
      <w:r>
        <w:t>Line sale snapshots remain authoritative for historical item name and SKU, so later item rename/delete does not retroactively change item labels.</w:t>
      </w:r>
    </w:p>
    <w:p>
      <w:pPr>
        <w:pStyle w:val="ListBullet"/>
      </w:pPr>
      <w:r>
        <w:t>Category grouping resolves the current primary item folder, falls back to legacy category, and maps null/empty values to category key uncategorized and label Uncategorized.</w:t>
      </w:r>
    </w:p>
    <w:p>
      <w:pPr>
        <w:pStyle w:val="ListBullet"/>
      </w:pPr>
      <w:r>
        <w:t>Item and category orders use distinct transaction identity, not payment allocations. COGS and profit use existing cost_snapshot/item cost semantics. Shares use the report-wide net-sales denominator and return zero when the denominator is zero.</w:t>
      </w:r>
    </w:p>
    <w:p>
      <w:pPr>
        <w:pStyle w:val="ListBullet"/>
      </w:pPr>
      <w:r>
        <w:t>Hourly boundaries are generated in Asia/Manila with half-open report date filtering. No writes, inventory movements, payment changes, or fiscal changes occur.</w:t>
      </w:r>
    </w:p>
    <w:p>
      <w:pPr>
        <w:pStyle w:val="Heading1"/>
      </w:pPr>
      <w:r>
        <w:t>Authorization, Validation, and Telemetry</w:t>
      </w:r>
    </w:p>
    <w:p>
      <w:pPr>
        <w:pStyle w:val="ListBullet"/>
      </w:pPr>
      <w:r>
        <w:t>The route uses the existing pos:view or pos:branch_view permission tier and resolvePosReadLocationScope path.</w:t>
      </w:r>
    </w:p>
    <w:p>
      <w:pPr>
        <w:pStyle w:val="ListBullet"/>
      </w:pPr>
      <w:r>
        <w:t>Cashiers cannot request another cashier; the use case forces cashier_id to the authenticated user. Invalid breakdown, date, pagination, sort, and filter inputs fail closed.</w:t>
      </w:r>
    </w:p>
    <w:p>
      <w:pPr>
        <w:pStyle w:val="ListBullet"/>
      </w:pPr>
      <w:r>
        <w:t>Breakdown telemetry logs only correlation ID, breakdown, scoped location indicator, row count, duration, outcome, and error code; it does not log credentials or customer payloads.</w:t>
      </w:r>
    </w:p>
    <w:p>
      <w:pPr>
        <w:pStyle w:val="Heading1"/>
      </w:pPr>
      <w:r>
        <w:t>Verification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rPr>
              <w:t>Gate</w:t>
            </w:r>
          </w:p>
        </w:tc>
        <w:tc>
          <w:tcPr>
            <w:tcW w:type="dxa" w:w="3360"/>
            <w:vAlign w:val="center"/>
            <w:shd w:fill="1F4E78"/>
          </w:tcPr>
          <w:p>
            <w:pPr>
              <w:spacing w:after="0"/>
            </w:pPr>
            <w:r>
              <w:rPr>
                <w:b/>
                <w:color w:val="FFFFFF"/>
              </w:rPr>
              <w:t>Command/evidence</w:t>
            </w:r>
          </w:p>
        </w:tc>
        <w:tc>
          <w:tcPr>
            <w:tcW w:type="dxa" w:w="3360"/>
            <w:vAlign w:val="center"/>
            <w:shd w:fill="1F4E78"/>
          </w:tcPr>
          <w:p>
            <w:pPr>
              <w:spacing w:after="0"/>
            </w:pPr>
            <w:r>
              <w:rPr>
                <w:b/>
                <w:color w:val="FFFFFF"/>
              </w:rPr>
              <w:t>Result</w:t>
            </w:r>
          </w:p>
        </w:tc>
      </w:tr>
      <w:tr>
        <w:tc>
          <w:tcPr>
            <w:tcW w:type="dxa" w:w="3360"/>
            <w:vAlign w:val="center"/>
          </w:tcPr>
          <w:p>
            <w:pPr>
              <w:spacing w:after="0"/>
            </w:pPr>
            <w:r>
              <w:t>Focused backend reports</w:t>
            </w:r>
          </w:p>
        </w:tc>
        <w:tc>
          <w:tcPr>
            <w:tcW w:type="dxa" w:w="3360"/>
            <w:vAlign w:val="center"/>
          </w:tcPr>
          <w:p>
            <w:pPr>
              <w:spacing w:after="0"/>
            </w:pPr>
            <w:r>
              <w:t>npm --prefix apps/dgfy-api test -- --runTestsByPath tests/posReports.repository.test.js tests/posReports.usecase.test.js tests/posValidator.reportsOverviewQuery.test.js tests/posReports.breakdown.route.contract.test.js tests/posHandlers.transport.test.js</w:t>
            </w:r>
          </w:p>
        </w:tc>
        <w:tc>
          <w:tcPr>
            <w:tcW w:type="dxa" w:w="3360"/>
            <w:vAlign w:val="center"/>
          </w:tcPr>
          <w:p>
            <w:pPr>
              <w:spacing w:after="0"/>
            </w:pPr>
            <w:r>
              <w:t>PASS — 6 suites, 96 tests</w:t>
            </w:r>
          </w:p>
        </w:tc>
      </w:tr>
      <w:tr>
        <w:tc>
          <w:tcPr>
            <w:tcW w:type="dxa" w:w="3360"/>
            <w:vAlign w:val="center"/>
          </w:tcPr>
          <w:p>
            <w:pPr>
              <w:spacing w:after="0"/>
            </w:pPr>
            <w:r>
              <w:t>Route compatibility regression</w:t>
            </w:r>
          </w:p>
        </w:tc>
        <w:tc>
          <w:tcPr>
            <w:tcW w:type="dxa" w:w="3360"/>
            <w:vAlign w:val="center"/>
          </w:tcPr>
          <w:p>
            <w:pPr>
              <w:spacing w:after="0"/>
            </w:pPr>
            <w:r>
              <w:t>npm --prefix apps/dgfy-api test -- --runTestsByPath tests/posVoid.route.transport.test.js tests/posHandlers.transport.test.js tests/posReports.breakdown.route.contract.test.js</w:t>
            </w:r>
          </w:p>
        </w:tc>
        <w:tc>
          <w:tcPr>
            <w:tcW w:type="dxa" w:w="3360"/>
            <w:vAlign w:val="center"/>
          </w:tcPr>
          <w:p>
            <w:pPr>
              <w:spacing w:after="0"/>
            </w:pPr>
            <w:r>
              <w:t>PASS — 3 suites, 46 tests</w:t>
            </w:r>
          </w:p>
        </w:tc>
      </w:tr>
      <w:tr>
        <w:tc>
          <w:tcPr>
            <w:tcW w:type="dxa" w:w="3360"/>
            <w:vAlign w:val="center"/>
          </w:tcPr>
          <w:p>
            <w:pPr>
              <w:spacing w:after="0"/>
            </w:pPr>
            <w:r>
              <w:t>Architecture</w:t>
            </w:r>
          </w:p>
        </w:tc>
        <w:tc>
          <w:tcPr>
            <w:tcW w:type="dxa" w:w="3360"/>
            <w:vAlign w:val="center"/>
          </w:tcPr>
          <w:p>
            <w:pPr>
              <w:spacing w:after="0"/>
            </w:pPr>
            <w:r>
              <w:t>npm run check:architecture</w:t>
            </w:r>
          </w:p>
        </w:tc>
        <w:tc>
          <w:tcPr>
            <w:tcW w:type="dxa" w:w="3360"/>
            <w:vAlign w:val="center"/>
          </w:tcPr>
          <w:p>
            <w:pPr>
              <w:spacing w:after="0"/>
            </w:pPr>
            <w:r>
              <w:t>PASS — 55 modules/617 files; 101 controllers</w:t>
            </w:r>
          </w:p>
        </w:tc>
      </w:tr>
      <w:tr>
        <w:tc>
          <w:tcPr>
            <w:tcW w:type="dxa" w:w="3360"/>
            <w:vAlign w:val="center"/>
          </w:tcPr>
          <w:p>
            <w:pPr>
              <w:spacing w:after="0"/>
            </w:pPr>
            <w:r>
              <w:t>Backend build</w:t>
            </w:r>
          </w:p>
        </w:tc>
        <w:tc>
          <w:tcPr>
            <w:tcW w:type="dxa" w:w="3360"/>
            <w:vAlign w:val="center"/>
          </w:tcPr>
          <w:p>
            <w:pPr>
              <w:spacing w:after="0"/>
            </w:pPr>
            <w:r>
              <w:t>npm --prefix apps/dgfy-api run build</w:t>
            </w:r>
          </w:p>
        </w:tc>
        <w:tc>
          <w:tcPr>
            <w:tcW w:type="dxa" w:w="3360"/>
            <w:vAlign w:val="center"/>
          </w:tcPr>
          <w:p>
            <w:pPr>
              <w:spacing w:after="0"/>
            </w:pPr>
            <w:r>
              <w:t>PASS — repository reports no backend build required</w:t>
            </w:r>
          </w:p>
        </w:tc>
      </w:tr>
      <w:tr>
        <w:tc>
          <w:tcPr>
            <w:tcW w:type="dxa" w:w="3360"/>
            <w:vAlign w:val="center"/>
          </w:tcPr>
          <w:p>
            <w:pPr>
              <w:spacing w:after="0"/>
            </w:pPr>
            <w:r>
              <w:t>ADR/docs/compliance</w:t>
            </w:r>
          </w:p>
        </w:tc>
        <w:tc>
          <w:tcPr>
            <w:tcW w:type="dxa" w:w="3360"/>
            <w:vAlign w:val="center"/>
          </w:tcPr>
          <w:p>
            <w:pPr>
              <w:spacing w:after="0"/>
            </w:pPr>
            <w:r>
              <w:t>npm run check:adr; npm run lint:docs; npm run check:compliance</w:t>
            </w:r>
          </w:p>
        </w:tc>
        <w:tc>
          <w:tcPr>
            <w:tcW w:type="dxa" w:w="3360"/>
            <w:vAlign w:val="center"/>
          </w:tcPr>
          <w:p>
            <w:pPr>
              <w:spacing w:after="0"/>
            </w:pPr>
            <w:r>
              <w:t>PASS</w:t>
            </w:r>
          </w:p>
        </w:tc>
      </w:tr>
      <w:tr>
        <w:tc>
          <w:tcPr>
            <w:tcW w:type="dxa" w:w="3360"/>
            <w:vAlign w:val="center"/>
          </w:tcPr>
          <w:p>
            <w:pPr>
              <w:spacing w:after="0"/>
            </w:pPr>
            <w:r>
              <w:t>Diff hygiene</w:t>
            </w:r>
          </w:p>
        </w:tc>
        <w:tc>
          <w:tcPr>
            <w:tcW w:type="dxa" w:w="3360"/>
            <w:vAlign w:val="center"/>
          </w:tcPr>
          <w:p>
            <w:pPr>
              <w:spacing w:after="0"/>
            </w:pPr>
            <w:r>
              <w:t>git diff --check and node --check on changed JS sources</w:t>
            </w:r>
          </w:p>
        </w:tc>
        <w:tc>
          <w:tcPr>
            <w:tcW w:type="dxa" w:w="3360"/>
            <w:vAlign w:val="center"/>
          </w:tcPr>
          <w:p>
            <w:pPr>
              <w:spacing w:after="0"/>
            </w:pPr>
            <w:r>
              <w:t>PASS</w:t>
            </w:r>
          </w:p>
        </w:tc>
      </w:tr>
      <w:tr>
        <w:tc>
          <w:tcPr>
            <w:tcW w:type="dxa" w:w="3360"/>
            <w:vAlign w:val="center"/>
          </w:tcPr>
          <w:p>
            <w:pPr>
              <w:spacing w:after="0"/>
            </w:pPr>
            <w:r>
              <w:t>Database posture</w:t>
            </w:r>
          </w:p>
        </w:tc>
        <w:tc>
          <w:tcPr>
            <w:tcW w:type="dxa" w:w="3360"/>
            <w:vAlign w:val="center"/>
          </w:tcPr>
          <w:p>
            <w:pPr>
              <w:spacing w:after="0"/>
            </w:pPr>
            <w:r>
              <w:t>127.0.0.1:3306 reachable; no migration/query/write executed</w:t>
            </w:r>
          </w:p>
        </w:tc>
        <w:tc>
          <w:tcPr>
            <w:tcW w:type="dxa" w:w="3360"/>
            <w:vAlign w:val="center"/>
          </w:tcPr>
          <w:p>
            <w:pPr>
              <w:spacing w:after="0"/>
            </w:pPr>
            <w:r>
              <w:t>PASS — no schema change required</w:t>
            </w:r>
          </w:p>
        </w:tc>
      </w:tr>
      <w:tr>
        <w:tc>
          <w:tcPr>
            <w:tcW w:type="dxa" w:w="3360"/>
            <w:vAlign w:val="center"/>
          </w:tcPr>
          <w:p>
            <w:pPr>
              <w:spacing w:after="0"/>
            </w:pPr>
            <w:r>
              <w:t>Full backend regression</w:t>
            </w:r>
          </w:p>
        </w:tc>
        <w:tc>
          <w:tcPr>
            <w:tcW w:type="dxa" w:w="3360"/>
            <w:vAlign w:val="center"/>
          </w:tcPr>
          <w:p>
            <w:pPr>
              <w:spacing w:after="0"/>
            </w:pPr>
            <w:r>
              <w:t>npm --prefix apps/dgfy-api test</w:t>
            </w:r>
          </w:p>
        </w:tc>
        <w:tc>
          <w:tcPr>
            <w:tcW w:type="dxa" w:w="3360"/>
            <w:vAlign w:val="center"/>
          </w:tcPr>
          <w:p>
            <w:pPr>
              <w:spacing w:after="0"/>
            </w:pPr>
            <w:r>
              <w:t>LIMITED — unrelated missing sequelize-cli/runtime schema and current-clock baseline failures; no Section 03 focused failure</w:t>
            </w:r>
          </w:p>
        </w:tc>
      </w:tr>
    </w:tbl>
    <w:p>
      <w:pPr>
        <w:pStyle w:val="Heading1"/>
      </w:pPr>
      <w:r>
        <w:t>Known Verification Limitation</w:t>
      </w:r>
    </w:p>
    <w:p>
      <w:r>
        <w:t>The complete backend suite cannot be treated as a clean release gate in this checkout. DB integration suites fail before exercising application behavior because apps/dgfy-migration-runner/node_modules/sequelize-cli/lib/sequelize is absent and the available MySQL schema is missing required migrations/tables/columns. Several unrelated unit suites also use fixed dates that are now in the past relative to 2026-09-28. The Section 03 focused suites and compatibility route regression pass independently. This limitation must be resolved in the later full staging QA/release evidence phase before deployment.</w:t>
      </w:r>
    </w:p>
    <w:p>
      <w:pPr>
        <w:pStyle w:val="Heading1"/>
      </w:pPr>
      <w:r>
        <w:t>Rollback and Release Boundary</w:t>
      </w:r>
    </w:p>
    <w:p>
      <w:r>
        <w:t>Rollback is a code/document revert of the Section 03 implementation, API specification, tests, and compliance declaration. No down migration, data backfill, index rollback, or tenant repair is required. No commit, push, PR, merge, or deployment was performed by this execution.</w:t>
      </w:r>
    </w:p>
    <w:p>
      <w:pPr>
        <w:pStyle w:val="Heading1"/>
      </w:pPr>
      <w:r>
        <w:t>Acceptance and Next Phase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b/>
                <w:color w:val="FFFFFF"/>
              </w:rPr>
              <w:t>Acceptance gate</w:t>
            </w:r>
          </w:p>
        </w:tc>
        <w:tc>
          <w:tcPr>
            <w:tcW w:type="dxa" w:w="5040"/>
            <w:vAlign w:val="center"/>
            <w:shd w:fill="1F4E78"/>
          </w:tcPr>
          <w:p>
            <w:pPr>
              <w:spacing w:after="0"/>
            </w:pPr>
            <w:r>
              <w:rPr>
                <w:b/>
                <w:color w:val="FFFFFF"/>
              </w:rPr>
              <w:t>Status</w:t>
            </w:r>
          </w:p>
        </w:tc>
      </w:tr>
      <w:tr>
        <w:tc>
          <w:tcPr>
            <w:tcW w:type="dxa" w:w="5040"/>
            <w:vAlign w:val="center"/>
          </w:tcPr>
          <w:p>
            <w:pPr>
              <w:spacing w:after="0"/>
            </w:pPr>
            <w:r>
              <w:t>Additive breakdown API and validator contract</w:t>
            </w:r>
          </w:p>
        </w:tc>
        <w:tc>
          <w:tcPr>
            <w:tcW w:type="dxa" w:w="5040"/>
            <w:vAlign w:val="center"/>
          </w:tcPr>
          <w:p>
            <w:pPr>
              <w:spacing w:after="0"/>
            </w:pPr>
            <w:r>
              <w:t>PASS</w:t>
            </w:r>
          </w:p>
        </w:tc>
      </w:tr>
      <w:tr>
        <w:tc>
          <w:tcPr>
            <w:tcW w:type="dxa" w:w="5040"/>
            <w:vAlign w:val="center"/>
          </w:tcPr>
          <w:p>
            <w:pPr>
              <w:spacing w:after="0"/>
            </w:pPr>
            <w:r>
              <w:t>Existing overview/export regression tests green</w:t>
            </w:r>
          </w:p>
        </w:tc>
        <w:tc>
          <w:tcPr>
            <w:tcW w:type="dxa" w:w="5040"/>
            <w:vAlign w:val="center"/>
          </w:tcPr>
          <w:p>
            <w:pPr>
              <w:spacing w:after="0"/>
            </w:pPr>
            <w:r>
              <w:t>PASS</w:t>
            </w:r>
          </w:p>
        </w:tc>
      </w:tr>
      <w:tr>
        <w:tc>
          <w:tcPr>
            <w:tcW w:type="dxa" w:w="5040"/>
            <w:vAlign w:val="center"/>
          </w:tcPr>
          <w:p>
            <w:pPr>
              <w:spacing w:after="0"/>
            </w:pPr>
            <w:r>
              <w:t>Same authorization/location/cashier scope</w:t>
            </w:r>
          </w:p>
        </w:tc>
        <w:tc>
          <w:tcPr>
            <w:tcW w:type="dxa" w:w="5040"/>
            <w:vAlign w:val="center"/>
          </w:tcPr>
          <w:p>
            <w:pPr>
              <w:spacing w:after="0"/>
            </w:pPr>
            <w:r>
              <w:t>PASS by focused use-case and route coverage</w:t>
            </w:r>
          </w:p>
        </w:tc>
      </w:tr>
      <w:tr>
        <w:tc>
          <w:tcPr>
            <w:tcW w:type="dxa" w:w="5040"/>
            <w:vAlign w:val="center"/>
          </w:tcPr>
          <w:p>
            <w:pPr>
              <w:spacing w:after="0"/>
            </w:pPr>
            <w:r>
              <w:t>Complete filtered CSV export</w:t>
            </w:r>
          </w:p>
        </w:tc>
        <w:tc>
          <w:tcPr>
            <w:tcW w:type="dxa" w:w="5040"/>
            <w:vAlign w:val="center"/>
          </w:tcPr>
          <w:p>
            <w:pPr>
              <w:spacing w:after="0"/>
            </w:pPr>
            <w:r>
              <w:t>PASS by focused export use-case coverage</w:t>
            </w:r>
          </w:p>
        </w:tc>
      </w:tr>
      <w:tr>
        <w:tc>
          <w:tcPr>
            <w:tcW w:type="dxa" w:w="5040"/>
            <w:vAlign w:val="center"/>
          </w:tcPr>
          <w:p>
            <w:pPr>
              <w:spacing w:after="0"/>
            </w:pPr>
            <w:r>
              <w:t>No unapproved schema change</w:t>
            </w:r>
          </w:p>
        </w:tc>
        <w:tc>
          <w:tcPr>
            <w:tcW w:type="dxa" w:w="5040"/>
            <w:vAlign w:val="center"/>
          </w:tcPr>
          <w:p>
            <w:pPr>
              <w:spacing w:after="0"/>
            </w:pPr>
            <w:r>
              <w:t>PASS</w:t>
            </w:r>
          </w:p>
        </w:tc>
      </w:tr>
      <w:tr>
        <w:tc>
          <w:tcPr>
            <w:tcW w:type="dxa" w:w="5040"/>
            <w:vAlign w:val="center"/>
          </w:tcPr>
          <w:p>
            <w:pPr>
              <w:spacing w:after="0"/>
            </w:pPr>
            <w:r>
              <w:t>Independent clean full-suite/staging evidence</w:t>
            </w:r>
          </w:p>
        </w:tc>
        <w:tc>
          <w:tcPr>
            <w:tcW w:type="dxa" w:w="5040"/>
            <w:vAlign w:val="center"/>
          </w:tcPr>
          <w:p>
            <w:pPr>
              <w:spacing w:after="0"/>
            </w:pPr>
            <w:r>
              <w:t>DEFERRED — environment/schema/date baseline limitation</w:t>
            </w:r>
          </w:p>
        </w:tc>
      </w:tr>
      <w:tr>
        <w:tc>
          <w:tcPr>
            <w:tcW w:type="dxa" w:w="5040"/>
            <w:vAlign w:val="center"/>
          </w:tcPr>
          <w:p>
            <w:pPr>
              <w:spacing w:after="0"/>
            </w:pPr>
            <w:r>
              <w:t>Next eligible phase</w:t>
            </w:r>
          </w:p>
        </w:tc>
        <w:tc>
          <w:tcPr>
            <w:tcW w:type="dxa" w:w="5040"/>
            <w:vAlign w:val="center"/>
          </w:tcPr>
          <w:p>
            <w:pPr>
              <w:spacing w:after="0"/>
            </w:pPr>
            <w:r>
              <w:t>RPT-03 / 04_Frontend_Report_UI_and_Export_Plan.docx</w:t>
            </w:r>
          </w:p>
        </w:tc>
      </w:tr>
    </w:tbl>
    <w:p>
      <w:pPr>
        <w:pStyle w:val="Heading1"/>
      </w:pPr>
      <w:r>
        <w:t>Artifact and Visual QA Note</w:t>
      </w:r>
    </w:p>
    <w:p>
      <w:r>
        <w:t>The execution artifacts were created and structurally validated with python-docx. Visual PNG/PDF rendering was attempted through the required document workflow, but LibreOffice/soffice.exe is not installed on this host; therefore visual layout is not independently verified in this session.</w:t>
      </w:r>
    </w:p>
    <w:p>
      <w:pPr>
        <w:pStyle w:val="Heading1"/>
      </w:pPr>
      <w:r>
        <w:t>Supplemental Verification 2026 09 29</w:t>
      </w:r>
    </w:p>
    <w:p>
      <w:r>
        <w:t>This update records an additional backend gap found during the Phase 03 audit. Breakdown CSV exports now include the report name, inclusive date range, timezone, and report-wide financial summary before the fixed-header detail table. Existing filtered scope and CSV quote escaping are retained and covered by regression tests.</w:t>
      </w:r>
    </w:p>
    <w:p>
      <w:pPr>
        <w:pStyle w:val="Heading2"/>
      </w:pPr>
      <w:r>
        <w:t>Focused Verification</w:t>
      </w:r>
    </w:p>
    <w:p>
      <w:r>
        <w:t>Backend report verification passed: 5 suites and 91 tests. The run covered repository aggregation, use-case behavior, report validation, the breakdown route contract, and handler transport.</w:t>
      </w:r>
    </w:p>
    <w:p>
      <w:r>
        <w:t>POS report UI contract verification passed: 3 files and 26 tests. This is a UI/API contract regression check, not live browser UAT.</w:t>
      </w:r>
    </w:p>
    <w:p>
      <w:r>
        <w:t>Repository checks passed: architecture boundaries (55 modules, 617 files, 101 controllers), compliance (37 sensitive files plus API contracts), documentation lint (30 governed documents and 92 ADRs), tenant-schema coverage (no migration changes), changed-source syntax, and git diff hygiene.</w:t>
      </w:r>
    </w:p>
    <w:p>
      <w:pPr>
        <w:pStyle w:val="Heading2"/>
      </w:pPr>
      <w:r>
        <w:t>Repository Wide Regression Attempt</w:t>
      </w:r>
    </w:p>
    <w:p>
      <w:r>
        <w:t>The full backend Jest suite was started but did not reach a terminal summary. After approximately 13 minutes, the process remained active at about 1.6 GB of memory without new output, so it was stopped. No total passed/failed test count is available; the repository-wide suite must be rerun in a healthy test environment before treating it as a release gate.</w:t>
      </w:r>
    </w:p>
    <w:p>
      <w:r>
        <w:t>Failures observed before stopping were outside the Phase 03 report files: cashier-location permission tests returned 200 where 403 was expected; a subscription-gate test retained a revoked items:edit permission; the store route registered an undefined reconcileCheckoutPaymentSession handler; and database integration suites could not find apps/dgfy-migration-runner/node_modules/sequelize-cli/lib/sequelize. The full-cycle schema audit also reported 29 missing migrations, tables, or columns in the local tenant schema. These observations are partial and do not represent complete suite totals.</w:t>
      </w:r>
    </w:p>
    <w:p>
      <w:pPr>
        <w:pStyle w:val="Heading2"/>
      </w:pPr>
      <w:r>
        <w:t>Data and Release Boundary</w:t>
      </w:r>
    </w:p>
    <w:p>
      <w:r>
        <w:t>No database migration, schema modification, or tenant data mutation was made. No commit, push, pull request, merge, or deployment was performed. The report backend implementation remains locally verified by its focused tests; full repository regression and staging evidence are still outstanding. RPT-03 / 04_Frontend_Report_UI_and_Export_Plan.docx remains the next implementation phase.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