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Testing Release Rollback and Acceptance</w:t>
      </w:r>
    </w:p>
    <w:p>
      <w:pPr>
        <w:spacing w:after="200"/>
      </w:pPr>
      <w:r>
        <w:rPr>
          <w:rFonts w:ascii="Aptos" w:hAnsi="Aptos"/>
          <w:b w:val="0"/>
          <w:i w:val="0"/>
          <w:color w:val="385A7A"/>
          <w:sz w:val="20"/>
        </w:rPr>
        <w:t>POS BIR Annex B Items 4 to 14 Readiness | Plan version 1.0 | Section 09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Project name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POS BIR Annex B Items 4 to 14 Readiness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Plan version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1.0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Repository baseline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C:\xampp\htdocs\POS-DGFY | branch feat/DGFY-343-2067-pos-workflow-consolidation | HEAD 786cd4e8329db1a65398ce6aa7eb020ffc8f3b28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Planning mode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Planning only. This artifact does not implement code, migrations, configuration, or release actions.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rFonts w:ascii="Aptos" w:hAnsi="Aptos"/>
          <w:b w:val="0"/>
          <w:i w:val="0"/>
        </w:rPr>
        <w:t>Define the verification, release, rollback, and measurable completion rules for a local-only implementation of Items 4 through 14.</w:t>
      </w:r>
    </w:p>
    <w:p>
      <w:pPr>
        <w:pStyle w:val="Heading1"/>
      </w:pPr>
      <w:r>
        <w:t>Dependencies</w:t>
      </w:r>
    </w:p>
    <w:p>
      <w:pPr>
        <w:pStyle w:val="ListBullet"/>
      </w:pPr>
      <w:r>
        <w:rPr>
          <w:rFonts w:ascii="Aptos" w:hAnsi="Aptos"/>
          <w:b w:val="0"/>
          <w:i w:val="0"/>
        </w:rPr>
        <w:t>Sections 00-08.</w:t>
      </w:r>
    </w:p>
    <w:p>
      <w:pPr>
        <w:pStyle w:val="ListBullet"/>
      </w:pPr>
      <w:r>
        <w:rPr>
          <w:rFonts w:ascii="Aptos" w:hAnsi="Aptos"/>
          <w:b w:val="0"/>
          <w:i w:val="0"/>
        </w:rPr>
        <w:t>Repository testing README and release gates.</w:t>
      </w:r>
    </w:p>
    <w:p>
      <w:pPr>
        <w:pStyle w:val="ListBullet"/>
      </w:pPr>
      <w:r>
        <w:rPr>
          <w:rFonts w:ascii="Aptos" w:hAnsi="Aptos"/>
          <w:b w:val="0"/>
          <w:i w:val="0"/>
        </w:rPr>
        <w:t>Local stack and disposable MySQL/tenant restore capability.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rPr>
          <w:rFonts w:ascii="Aptos" w:hAnsi="Aptos"/>
          <w:b w:val="0"/>
          <w:i w:val="0"/>
        </w:rPr>
        <w:t>The repository provides backend, frontend, migration, architecture, compliance, build, browser, report, receipt, audit, and restore-drill test surfaces.</w:t>
      </w:r>
    </w:p>
    <w:p>
      <w:pPr>
        <w:pStyle w:val="ListBullet"/>
      </w:pPr>
      <w:r>
        <w:rPr>
          <w:rFonts w:ascii="Aptos" w:hAnsi="Aptos"/>
          <w:b w:val="0"/>
          <w:i w:val="0"/>
        </w:rPr>
        <w:t>ADR 0014 requires offline sales to remain provisional and replay to be operator-controlled; reports/settings/remote actions are online-only.</w:t>
      </w:r>
    </w:p>
    <w:p>
      <w:pPr>
        <w:pStyle w:val="ListBullet"/>
      </w:pPr>
      <w:r>
        <w:rPr>
          <w:rFonts w:ascii="Aptos" w:hAnsi="Aptos"/>
          <w:b w:val="0"/>
          <w:i w:val="0"/>
        </w:rPr>
        <w:t>Release/compliance docs require lint:docs, check:architecture, check:compliance, affected tests, builds, integrity audit, eSales reconciliation, and restore drill.</w:t>
      </w:r>
    </w:p>
    <w:p>
      <w:pPr>
        <w:pStyle w:val="ListBullet"/>
      </w:pPr>
      <w:r>
        <w:rPr>
          <w:rFonts w:ascii="Aptos" w:hAnsi="Aptos"/>
          <w:b w:val="0"/>
          <w:i w:val="0"/>
        </w:rPr>
        <w:t>The plan is local-only and must not wait for staging or create staging evidence.</w:t>
      </w:r>
    </w:p>
    <w:p>
      <w:pPr>
        <w:pStyle w:val="Heading1"/>
      </w:pPr>
      <w:r>
        <w:t>Assumptions and Unknowns</w:t>
      </w:r>
    </w:p>
    <w:p>
      <w:pPr>
        <w:pStyle w:val="ListBullet"/>
      </w:pPr>
      <w:r>
        <w:rPr>
          <w:rFonts w:ascii="Aptos" w:hAnsi="Aptos"/>
          <w:b w:val="0"/>
          <w:i w:val="0"/>
        </w:rPr>
        <w:t>The exact repository command names may change; execution should confirm package scripts before running them.</w:t>
      </w:r>
    </w:p>
    <w:p>
      <w:pPr>
        <w:pStyle w:val="ListBullet"/>
      </w:pPr>
      <w:r>
        <w:rPr>
          <w:rFonts w:ascii="Aptos" w:hAnsi="Aptos"/>
          <w:b w:val="0"/>
          <w:i w:val="0"/>
        </w:rPr>
        <w:t>Browser evidence will use local URLs and synthetic fixtures with no production customer data.</w:t>
      </w:r>
    </w:p>
    <w:p>
      <w:pPr>
        <w:pStyle w:val="ListBullet"/>
      </w:pPr>
      <w:r>
        <w:rPr>
          <w:rFonts w:ascii="Aptos" w:hAnsi="Aptos"/>
          <w:b w:val="0"/>
          <w:i w:val="0"/>
        </w:rPr>
        <w:t>A restore drill can use a disposable local database and does not imply a production restore test.</w:t>
      </w:r>
    </w:p>
    <w:p>
      <w:pPr>
        <w:pStyle w:val="Heading1"/>
      </w:pPr>
      <w:r>
        <w:t>Requirements Covered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921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TEST-401 to TEST-474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Run requirement-specific unit, integration, API, database, security, browser, migration, and failure tests.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OPS-402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Run local release and restore rehearsal with evidence.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NFR-401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Prove deterministic output, bounded exports, performance, and accessibility.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BR-403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Prove offline provisional behavior and no final fiscal output before replay.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AC-490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All critical requirements map to a passing test and acceptance criterion.</w:t>
            </w:r>
          </w:p>
        </w:tc>
      </w:tr>
    </w:tbl>
    <w:p>
      <w:pPr>
        <w:spacing w:after="40"/>
      </w:pPr>
    </w:p>
    <w:p>
      <w:pPr>
        <w:pStyle w:val="Heading1"/>
      </w:pPr>
      <w:r>
        <w:t>Plan Content</w:t>
      </w:r>
    </w:p>
    <w:p>
      <w:pPr>
        <w:pStyle w:val="Heading2"/>
      </w:pPr>
      <w:r>
        <w:t>Automated verification layers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Layer</w:t>
            </w:r>
          </w:p>
        </w:tc>
        <w:tc>
          <w:tcPr>
            <w:tcW w:type="dxa" w:w="468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Coverage</w:t>
            </w:r>
          </w:p>
        </w:tc>
        <w:tc>
          <w:tcPr>
            <w:tcW w:type="dxa" w:w="360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Required evidence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Unit/domain</w:t>
            </w:r>
          </w:p>
        </w:tc>
        <w:tc>
          <w:tcPr>
            <w:tcW w:type="dxa" w:w="468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Serializer ordering, field validation, adjustment taxonomy, receipt totals, X/Z aggregation, readiness state.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 output and fixture IDs.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API/use case</w:t>
            </w:r>
          </w:p>
        </w:tc>
        <w:tc>
          <w:tcPr>
            <w:tcW w:type="dxa" w:w="468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Permissions, tenant/location scope, idempotency, source selection, error codes, bounded export.</w:t>
            </w:r>
          </w:p>
        </w:tc>
        <w:tc>
          <w:tcPr>
            <w:tcW w:type="dxa" w:w="360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HTTP/use-case test reports.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Database/migration</w:t>
            </w:r>
          </w:p>
        </w:tc>
        <w:tc>
          <w:tcPr>
            <w:tcW w:type="dxa" w:w="468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Fresh apply, existing schema, tenant clone, indexes, append-only, rollback.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Migration logs and schema audit.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Frontend/UI</w:t>
            </w:r>
          </w:p>
        </w:tc>
        <w:tc>
          <w:tcPr>
            <w:tcW w:type="dxa" w:w="468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Receipt preview, adjustment labels, report catalog, evidence/download, version, online/offline, accessibility.</w:t>
            </w:r>
          </w:p>
        </w:tc>
        <w:tc>
          <w:tcPr>
            <w:tcW w:type="dxa" w:w="360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Component/contract tests and screenshots.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Browser E2E</w:t>
            </w:r>
          </w:p>
        </w:tc>
        <w:tc>
          <w:tcPr>
            <w:tcW w:type="dxa" w:w="468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Local sale -&gt; print/preview -&gt; adjustment -&gt; X/Z -&gt; reports -&gt; journal -&gt; audit.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Trace/screenshots/downloaded artifacts.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Security</w:t>
            </w:r>
          </w:p>
        </w:tc>
        <w:tc>
          <w:tcPr>
            <w:tcW w:type="dxa" w:w="468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RBAC, object scope, ID manipulation, secrets, export leakage, audit redaction.</w:t>
            </w:r>
          </w:p>
        </w:tc>
        <w:tc>
          <w:tcPr>
            <w:tcW w:type="dxa" w:w="360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Pass/fail matrix.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Operations</w:t>
            </w:r>
          </w:p>
        </w:tc>
        <w:tc>
          <w:tcPr>
            <w:tcW w:type="dxa" w:w="468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Integrity verification, backup encryption, restore drill, retention/freshness.</w:t>
            </w:r>
          </w:p>
        </w:tc>
        <w:tc>
          <w:tcPr>
            <w:tcW w:type="dxa" w:w="36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Drill and integrity reports.</w:t>
            </w:r>
          </w:p>
        </w:tc>
      </w:tr>
    </w:tbl>
    <w:p>
      <w:pPr>
        <w:spacing w:after="40"/>
      </w:pPr>
    </w:p>
    <w:p>
      <w:pPr>
        <w:pStyle w:val="Heading2"/>
      </w:pPr>
      <w:r>
        <w:t>Critical GIVEN WHEN THEN scenarios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09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Given</w:t>
            </w:r>
          </w:p>
        </w:tc>
        <w:tc>
          <w:tcPr>
            <w:tcW w:type="dxa" w:w="309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When</w:t>
            </w:r>
          </w:p>
        </w:tc>
        <w:tc>
          <w:tcPr>
            <w:tcW w:type="dxa" w:w="331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Then</w:t>
            </w:r>
          </w:p>
        </w:tc>
      </w:tr>
      <w:tr>
        <w:tc>
          <w:tcPr>
            <w:tcW w:type="dxa" w:w="115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T-01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 finalized fiscal sale with a server snapshot.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 user changes current settings and reprints.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Original receipt fields/hash remain identical; reprint event is appended.</w:t>
            </w:r>
          </w:p>
        </w:tc>
      </w:tr>
      <w:tr>
        <w:tc>
          <w:tcPr>
            <w:tcW w:type="dxa" w:w="115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T-02</w:t>
            </w:r>
          </w:p>
        </w:tc>
        <w:tc>
          <w:tcPr>
            <w:tcW w:type="dxa" w:w="309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 fiscal sale with an approved statutory discount fixture.</w:t>
            </w:r>
          </w:p>
        </w:tc>
        <w:tc>
          <w:tcPr>
            <w:tcW w:type="dxa" w:w="309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Receipt/report/journal are generated.</w:t>
            </w:r>
          </w:p>
        </w:tc>
        <w:tc>
          <w:tcPr>
            <w:tcW w:type="dxa" w:w="33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Beneficiary/discount/VAT fields reconcile across all outputs.</w:t>
            </w:r>
          </w:p>
        </w:tc>
      </w:tr>
      <w:tr>
        <w:tc>
          <w:tcPr>
            <w:tcW w:type="dxa" w:w="115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T-03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 finalized sale.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Authorized user creates void/refund/return adjustment.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Adjustment contains original document number; original row is not edited.</w:t>
            </w:r>
          </w:p>
        </w:tc>
      </w:tr>
      <w:tr>
        <w:tc>
          <w:tcPr>
            <w:tcW w:type="dxa" w:w="115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T-04</w:t>
            </w:r>
          </w:p>
        </w:tc>
        <w:tc>
          <w:tcPr>
            <w:tcW w:type="dxa" w:w="309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Transactions, adjustments, and a closed shift exist for one Manila business date.</w:t>
            </w:r>
          </w:p>
        </w:tc>
        <w:tc>
          <w:tcPr>
            <w:tcW w:type="dxa" w:w="309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X/Z and journal reconciliation run.</w:t>
            </w:r>
          </w:p>
        </w:tc>
        <w:tc>
          <w:tcPr>
            <w:tcW w:type="dxa" w:w="33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Counts/totals/hash links match or export is blocked.</w:t>
            </w:r>
          </w:p>
        </w:tc>
      </w:tr>
      <w:tr>
        <w:tc>
          <w:tcPr>
            <w:tcW w:type="dxa" w:w="115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T-05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 user is offline with a queued provisional sale.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User opens fiscal reports or generates journal.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Online-only actions are blocked and provisional record is excluded.</w:t>
            </w:r>
          </w:p>
        </w:tc>
      </w:tr>
      <w:tr>
        <w:tc>
          <w:tcPr>
            <w:tcW w:type="dxa" w:w="115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T-06</w:t>
            </w:r>
          </w:p>
        </w:tc>
        <w:tc>
          <w:tcPr>
            <w:tcW w:type="dxa" w:w="309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 user lacks export or branch permission.</w:t>
            </w:r>
          </w:p>
        </w:tc>
        <w:tc>
          <w:tcPr>
            <w:tcW w:type="dxa" w:w="309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User manipulates IDs or calls the export route.</w:t>
            </w:r>
          </w:p>
        </w:tc>
        <w:tc>
          <w:tcPr>
            <w:tcW w:type="dxa" w:w="33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API denies access and writes an audit/security event.</w:t>
            </w:r>
          </w:p>
        </w:tc>
      </w:tr>
      <w:tr>
        <w:tc>
          <w:tcPr>
            <w:tcW w:type="dxa" w:w="115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T-07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 local backup and fiscal evidence set exists.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Disposable restore drill runs.</w:t>
            </w:r>
          </w:p>
        </w:tc>
        <w:tc>
          <w:tcPr>
            <w:tcW w:type="dxa" w:w="33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Records, hashes, evidence metadata, and source relationships survive within RPO/RTO.</w:t>
            </w:r>
          </w:p>
        </w:tc>
      </w:tr>
    </w:tbl>
    <w:p>
      <w:pPr>
        <w:spacing w:after="40"/>
      </w:pPr>
    </w:p>
    <w:p>
      <w:pPr>
        <w:pStyle w:val="Heading2"/>
      </w:pPr>
      <w:r>
        <w:t>Release and stop conditions</w:t>
      </w:r>
    </w:p>
    <w:p>
      <w:pPr>
        <w:pStyle w:val="ListBullet"/>
      </w:pPr>
      <w:r>
        <w:rPr>
          <w:rFonts w:ascii="Aptos" w:hAnsi="Aptos"/>
          <w:b w:val="0"/>
          <w:i w:val="0"/>
        </w:rPr>
        <w:t>Stop if the official grammar, adjustment semantics, or tax field matrix is unresolved.</w:t>
      </w:r>
    </w:p>
    <w:p>
      <w:pPr>
        <w:pStyle w:val="ListBullet"/>
      </w:pPr>
      <w:r>
        <w:rPr>
          <w:rFonts w:ascii="Aptos" w:hAnsi="Aptos"/>
          <w:b w:val="0"/>
          <w:i w:val="0"/>
        </w:rPr>
        <w:t>Stop if any finalized output can be changed or deleted without a governed event.</w:t>
      </w:r>
    </w:p>
    <w:p>
      <w:pPr>
        <w:pStyle w:val="ListBullet"/>
      </w:pPr>
      <w:r>
        <w:rPr>
          <w:rFonts w:ascii="Aptos" w:hAnsi="Aptos"/>
          <w:b w:val="0"/>
          <w:i w:val="0"/>
        </w:rPr>
        <w:t>Stop if any report/e-journal sample has a count, total, hash, scope, or source mismatch.</w:t>
      </w:r>
    </w:p>
    <w:p>
      <w:pPr>
        <w:pStyle w:val="ListBullet"/>
      </w:pPr>
      <w:r>
        <w:rPr>
          <w:rFonts w:ascii="Aptos" w:hAnsi="Aptos"/>
          <w:b w:val="0"/>
          <w:i w:val="0"/>
        </w:rPr>
        <w:t>Stop if unauthorized users can view/export another tenant, branch, terminal, customer, or audit record.</w:t>
      </w:r>
    </w:p>
    <w:p>
      <w:pPr>
        <w:pStyle w:val="ListBullet"/>
      </w:pPr>
      <w:r>
        <w:rPr>
          <w:rFonts w:ascii="Aptos" w:hAnsi="Aptos"/>
          <w:b w:val="0"/>
          <w:i w:val="0"/>
        </w:rPr>
        <w:t>Stop if migrations fail fresh-schema, second-pass, or tenant-clone validation.</w:t>
      </w:r>
    </w:p>
    <w:p>
      <w:pPr>
        <w:pStyle w:val="ListBullet"/>
      </w:pPr>
      <w:r>
        <w:rPr>
          <w:rFonts w:ascii="Aptos" w:hAnsi="Aptos"/>
          <w:b w:val="0"/>
          <w:i w:val="0"/>
        </w:rPr>
        <w:t>Stop if browser console/runtime/HTTP errors affect evidence capture or if the version shown in screenshots is unknown.</w:t>
      </w:r>
    </w:p>
    <w:p>
      <w:pPr>
        <w:pStyle w:val="ListBullet"/>
      </w:pPr>
      <w:r>
        <w:rPr>
          <w:rFonts w:ascii="Aptos" w:hAnsi="Aptos"/>
          <w:b w:val="0"/>
          <w:i w:val="0"/>
        </w:rPr>
        <w:t>Stop if backup/restore drill fails or evidence is older than the configured freshness window.</w:t>
      </w:r>
    </w:p>
    <w:p>
      <w:pPr>
        <w:pStyle w:val="Heading2"/>
      </w:pPr>
      <w:r>
        <w:t>Local release command families</w:t>
      </w:r>
    </w:p>
    <w:p>
      <w:pPr>
        <w:pStyle w:val="ListBullet"/>
      </w:pPr>
      <w:r>
        <w:rPr>
          <w:rFonts w:ascii="Aptos" w:hAnsi="Aptos"/>
          <w:b w:val="0"/>
          <w:i w:val="0"/>
        </w:rPr>
        <w:t>Governance: npm run lint:docs; npm run check:architecture; npm run check:compliance; git diff --check.</w:t>
      </w:r>
    </w:p>
    <w:p>
      <w:pPr>
        <w:pStyle w:val="ListBullet"/>
      </w:pPr>
      <w:r>
        <w:rPr>
          <w:rFonts w:ascii="Aptos" w:hAnsi="Aptos"/>
          <w:b w:val="0"/>
          <w:i w:val="0"/>
        </w:rPr>
        <w:t>Backend: targeted POS fiscal/adjustment/reading/report/audit/compliance tests plus migration and schema tests.</w:t>
      </w:r>
    </w:p>
    <w:p>
      <w:pPr>
        <w:pStyle w:val="ListBullet"/>
      </w:pPr>
      <w:r>
        <w:rPr>
          <w:rFonts w:ascii="Aptos" w:hAnsi="Aptos"/>
          <w:b w:val="0"/>
          <w:i w:val="0"/>
        </w:rPr>
        <w:t>Frontend: receipt conformance, adjustment/refund, report, evidence, VersionBadge, online/offline, accessibility, and production builds.</w:t>
      </w:r>
    </w:p>
    <w:p>
      <w:pPr>
        <w:pStyle w:val="ListBullet"/>
      </w:pPr>
      <w:r>
        <w:rPr>
          <w:rFonts w:ascii="Aptos" w:hAnsi="Aptos"/>
          <w:b w:val="0"/>
          <w:i w:val="0"/>
        </w:rPr>
        <w:t>Browser: local POS checkout, print/preview, adjustment, readings, reports, e-journal, audit, version, online/offline, and download assertions.</w:t>
      </w:r>
    </w:p>
    <w:p>
      <w:pPr>
        <w:pStyle w:val="ListBullet"/>
      </w:pPr>
      <w:r>
        <w:rPr>
          <w:rFonts w:ascii="Aptos" w:hAnsi="Aptos"/>
          <w:b w:val="0"/>
          <w:i w:val="0"/>
        </w:rPr>
        <w:t>Operations: fiscal ledger integrity, eSales/report reconciliation, backup encryption evidence, disposable restore drill, and artifact checksum verification.</w:t>
      </w:r>
    </w:p>
    <w:p>
      <w:pPr>
        <w:pStyle w:val="Heading1"/>
      </w:pPr>
      <w:r>
        <w:t>Affected System Components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Classification</w:t>
            </w:r>
          </w:p>
        </w:tc>
        <w:tc>
          <w:tcPr>
            <w:tcW w:type="dxa" w:w="871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Components and expected treatment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Automated</w:t>
            </w:r>
          </w:p>
        </w:tc>
        <w:tc>
          <w:tcPr>
            <w:tcW w:type="dxa" w:w="87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apps/dgfy-api tests, apps/dgfy-pos tests, packages/web-core tests, migration runner tests, scripts/gates.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Manual</w:t>
            </w:r>
          </w:p>
        </w:tc>
        <w:tc>
          <w:tcPr>
            <w:tcW w:type="dxa" w:w="87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Local browser capture, hard-copy/PDF inspection, manual runbook, reviewer checklist, restore drill.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Release</w:t>
            </w:r>
          </w:p>
        </w:tc>
        <w:tc>
          <w:tcPr>
            <w:tcW w:type="dxa" w:w="87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Local builds and evidence freeze; no staging/production deploy.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Traceability</w:t>
            </w:r>
          </w:p>
        </w:tc>
        <w:tc>
          <w:tcPr>
            <w:tcW w:type="dxa" w:w="87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TEST IDs, AC IDs, phase IDs, fixture IDs, artifact manifest, and source commit.</w:t>
            </w:r>
          </w:p>
        </w:tc>
      </w:tr>
    </w:tbl>
    <w:p>
      <w:pPr>
        <w:spacing w:after="40"/>
      </w:pPr>
    </w:p>
    <w:p>
      <w:pPr>
        <w:pStyle w:val="Heading1"/>
      </w:pPr>
      <w:r>
        <w:t>Risks and Mitigations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0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88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Risk</w:t>
            </w:r>
          </w:p>
        </w:tc>
        <w:tc>
          <w:tcPr>
            <w:tcW w:type="dxa" w:w="576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Mitigation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R-090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Tests pass but hard-copy layout is unreadable.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Render/inspect every evidence page and receipt width.</w:t>
            </w:r>
          </w:p>
        </w:tc>
      </w:tr>
      <w:tr>
        <w:tc>
          <w:tcPr>
            <w:tcW w:type="dxa" w:w="10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R-091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Browser tests use stale service worker/build.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Clear local caches and compare VersionBadge/source commit.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R-092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Restore drill does not exercise fiscal records.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Use a fixture set containing issuance, adjustment, X/Z, journal, audit, and evidence.</w:t>
            </w:r>
          </w:p>
        </w:tc>
      </w:tr>
      <w:tr>
        <w:tc>
          <w:tcPr>
            <w:tcW w:type="dxa" w:w="10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R-093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 local pass is reported as BIR approval.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Separate internal pass from external review and filing acceptance.</w:t>
            </w:r>
          </w:p>
        </w:tc>
      </w:tr>
    </w:tbl>
    <w:p>
      <w:pPr>
        <w:spacing w:after="40"/>
      </w:pPr>
    </w:p>
    <w:p>
      <w:pPr>
        <w:pStyle w:val="Heading1"/>
      </w:pPr>
      <w:r>
        <w:t>Tests Required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22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Test ID</w:t>
            </w:r>
          </w:p>
        </w:tc>
        <w:tc>
          <w:tcPr>
            <w:tcW w:type="dxa" w:w="172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Type</w:t>
            </w:r>
          </w:p>
        </w:tc>
        <w:tc>
          <w:tcPr>
            <w:tcW w:type="dxa" w:w="770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Scenario and evidence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TEST-490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Full matrix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Every requirement ID maps to at least one executed test and one acceptance criterion.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TEST-491</w:t>
            </w:r>
          </w:p>
        </w:tc>
        <w:tc>
          <w:tcPr>
            <w:tcW w:type="dxa" w:w="172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Regression</w:t>
            </w:r>
          </w:p>
        </w:tc>
        <w:tc>
          <w:tcPr>
            <w:tcW w:type="dxa" w:w="770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Existing receipt, refund, void, report, offline, audit, compliance, and build suites remain green.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TEST-492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Browser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Local end-to-end capture completes without console errors, request failures, or unauthorized data.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TEST-493</w:t>
            </w:r>
          </w:p>
        </w:tc>
        <w:tc>
          <w:tcPr>
            <w:tcW w:type="dxa" w:w="172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Evidence QA</w:t>
            </w:r>
          </w:p>
        </w:tc>
        <w:tc>
          <w:tcPr>
            <w:tcW w:type="dxa" w:w="770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All output files open, hashes match, tables/print pages are readable, and no credentials leak.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TEST-494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Rollback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Disable/revert new code/config without deleting fiscal/evidence records; non-fiscal POS remains operational.</w:t>
            </w:r>
          </w:p>
        </w:tc>
      </w:tr>
    </w:tbl>
    <w:p>
      <w:pPr>
        <w:spacing w:after="40"/>
      </w:pPr>
    </w:p>
    <w:p>
      <w:pPr>
        <w:pStyle w:val="Heading1"/>
      </w:pPr>
      <w:r>
        <w:t>Acceptance Criteria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22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943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Measurable acceptance criterion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AC-490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No critical FR/BR/SEC/REP/DATA/OPS requirement lacks a passing verification record.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AC-491</w:t>
            </w:r>
          </w:p>
        </w:tc>
        <w:tc>
          <w:tcPr>
            <w:tcW w:type="dxa" w:w="94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All Items 4-14 have internal status and evidence artifact references.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AC-492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Local release gates and restore drill pass on the exact source/build recorded in the manifest.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AC-493</w:t>
            </w:r>
          </w:p>
        </w:tc>
        <w:tc>
          <w:tcPr>
            <w:tcW w:type="dxa" w:w="94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Rollback rehearsal preserves original fiscal records, event ledger, readings, audit, and evidence.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AC-494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The final report explicitly lists external BIR/TWG/tax-provider gates as pending or accepted, never silently complete.</w:t>
            </w:r>
          </w:p>
        </w:tc>
      </w:tr>
    </w:tbl>
    <w:p>
      <w:pPr>
        <w:spacing w:after="40"/>
      </w:pPr>
    </w:p>
    <w:p>
      <w:pPr>
        <w:pStyle w:val="Heading1"/>
      </w:pPr>
      <w:r>
        <w:t>Execution Dependencies</w:t>
      </w:r>
    </w:p>
    <w:p>
      <w:pPr>
        <w:pStyle w:val="ListNumber"/>
      </w:pPr>
      <w:r>
        <w:rPr>
          <w:rFonts w:ascii="Aptos" w:hAnsi="Aptos"/>
          <w:b w:val="0"/>
          <w:i w:val="0"/>
        </w:rPr>
        <w:t>Run focused unit/API/migration tests after each phase.</w:t>
      </w:r>
    </w:p>
    <w:p>
      <w:pPr>
        <w:pStyle w:val="ListNumber"/>
      </w:pPr>
      <w:r>
        <w:rPr>
          <w:rFonts w:ascii="Aptos" w:hAnsi="Aptos"/>
          <w:b w:val="0"/>
          <w:i w:val="0"/>
        </w:rPr>
        <w:t>Run cross-source reconciliation and security tests before evidence capture.</w:t>
      </w:r>
    </w:p>
    <w:p>
      <w:pPr>
        <w:pStyle w:val="ListNumber"/>
      </w:pPr>
      <w:r>
        <w:rPr>
          <w:rFonts w:ascii="Aptos" w:hAnsi="Aptos"/>
          <w:b w:val="0"/>
          <w:i w:val="0"/>
        </w:rPr>
        <w:t>Run browser/manual/hard-copy evidence capture on the exact final local build.</w:t>
      </w:r>
    </w:p>
    <w:p>
      <w:pPr>
        <w:pStyle w:val="ListNumber"/>
      </w:pPr>
      <w:r>
        <w:rPr>
          <w:rFonts w:ascii="Aptos" w:hAnsi="Aptos"/>
          <w:b w:val="0"/>
          <w:i w:val="0"/>
        </w:rPr>
        <w:t>Run the full local release and restore/rollback rehearsal.</w:t>
      </w:r>
    </w:p>
    <w:p>
      <w:pPr>
        <w:pStyle w:val="ListNumber"/>
      </w:pPr>
      <w:r>
        <w:rPr>
          <w:rFonts w:ascii="Aptos" w:hAnsi="Aptos"/>
          <w:b w:val="0"/>
          <w:i w:val="0"/>
        </w:rPr>
        <w:t>Freeze the manifest and only then update phase/evidence statuses.</w:t>
      </w:r>
    </w:p>
    <w:p>
      <w:pPr>
        <w:pStyle w:val="Heading1"/>
      </w:pPr>
      <w:r>
        <w:t>Cross References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docs/testing/README.md; docs/testing/release-go-no-go-checklist.md; docs/testing/pos-readiness-status.md.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docs/compliance/compliance-ops-regulatory-verification.md; docs/compliance/submission/backup-disaster-recovery-plan.md.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docs/architecture/adr/0014-multi-template-modes-pos-offline-sync-and-storefront-cache-contracts.md.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/>
        <w:b w:val="0"/>
        <w:i w:val="0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