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4E79"/>
        </w:rPr>
        <w:t>Phase 353 Section 02 Execution Record</w:t>
      </w:r>
    </w:p>
    <w:p>
      <w:pPr>
        <w:jc w:val="center"/>
      </w:pPr>
      <w:r>
        <w:rPr>
          <w:b/>
        </w:rPr>
        <w:t>POS BIR Annex B Items 4 to 14 Readiness | Requirements Registry | Local-only execution</w:t>
      </w:r>
    </w:p>
    <w:p>
      <w:pPr>
        <w:pStyle w:val="Heading1"/>
      </w:pPr>
      <w:r>
        <w:t>Objective</w:t>
      </w:r>
    </w:p>
    <w:p>
      <w:r>
        <w:t>Execute the approved 02_Annex_B_Items_4_to_14_Requirements.docx section by converting its exact control matrix into a versioned, machine-readable requirements and evidence registry. The implementation covers requirements, fixtures, owners, applicability decisions, evidence metadata, tests, acceptance gates, status accounting, and downstream phase dependencies. It does not implement the later runtime fiscal features.</w:t>
      </w:r>
    </w:p>
    <w:p>
      <w:pPr>
        <w:pStyle w:val="Heading1"/>
      </w:pPr>
      <w:r>
        <w:t>Approved inputs and execution boundary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20"/>
            <w:vAlign w:val="center"/>
            <w:shd w:fill="1F4E78"/>
          </w:tcPr>
          <w:p>
            <w:pPr>
              <w:spacing w:after="0"/>
            </w:pPr>
            <w:r/>
            <w:r>
              <w:rPr>
                <w:b/>
                <w:color w:val="FFFFFF"/>
              </w:rPr>
              <w:t>Field</w:t>
            </w:r>
          </w:p>
        </w:tc>
        <w:tc>
          <w:tcPr>
            <w:tcW w:type="dxa" w:w="8352"/>
            <w:vAlign w:val="center"/>
            <w:shd w:fill="1F4E78"/>
          </w:tcPr>
          <w:p>
            <w:pPr>
              <w:spacing w:after="0"/>
            </w:pPr>
            <w:r/>
            <w:r>
              <w:rPr>
                <w:b/>
                <w:color w:val="FFFFFF"/>
              </w:rPr>
              <w:t>Recorded value</w:t>
            </w:r>
          </w:p>
        </w:tc>
      </w:tr>
      <w:tr>
        <w:tc>
          <w:tcPr>
            <w:tcW w:type="dxa" w:w="2520"/>
            <w:vAlign w:val="center"/>
            <w:shd w:fill="EAF2F8"/>
          </w:tcPr>
          <w:p>
            <w:pPr>
              <w:spacing w:after="0"/>
            </w:pPr>
            <w:r/>
            <w:r>
              <w:rPr>
                <w:b w:val="0"/>
              </w:rPr>
              <w:t>Approved input</w:t>
            </w:r>
          </w:p>
        </w:tc>
        <w:tc>
          <w:tcPr>
            <w:tcW w:type="dxa" w:w="8352"/>
            <w:vAlign w:val="center"/>
            <w:shd w:fill="EAF2F8"/>
          </w:tcPr>
          <w:p>
            <w:pPr>
              <w:spacing w:after="0"/>
            </w:pPr>
            <w:r/>
            <w:r>
              <w:rPr>
                <w:b w:val="0"/>
              </w:rPr>
              <w:t>output/plans/POS_BIR_Annex_B_Items_4_to_14_Readiness/02_Annex_B_Items_4_to_14_Requirements.docx</w:t>
            </w:r>
          </w:p>
        </w:tc>
      </w:tr>
      <w:tr>
        <w:tc>
          <w:tcPr>
            <w:tcW w:type="dxa" w:w="2520"/>
            <w:vAlign w:val="center"/>
          </w:tcPr>
          <w:p>
            <w:pPr>
              <w:spacing w:after="0"/>
            </w:pPr>
            <w:r/>
            <w:r>
              <w:rPr>
                <w:b w:val="0"/>
              </w:rPr>
              <w:t>Plan section</w:t>
            </w:r>
          </w:p>
        </w:tc>
        <w:tc>
          <w:tcPr>
            <w:tcW w:type="dxa" w:w="8352"/>
            <w:vAlign w:val="center"/>
          </w:tcPr>
          <w:p>
            <w:pPr>
              <w:spacing w:after="0"/>
            </w:pPr>
            <w:r/>
            <w:r>
              <w:rPr>
                <w:b w:val="0"/>
              </w:rPr>
              <w:t>02 | Annex B Items 4 through 14 Requirements</w:t>
            </w:r>
          </w:p>
        </w:tc>
      </w:tr>
      <w:tr>
        <w:tc>
          <w:tcPr>
            <w:tcW w:type="dxa" w:w="2520"/>
            <w:vAlign w:val="center"/>
            <w:shd w:fill="EAF2F8"/>
          </w:tcPr>
          <w:p>
            <w:pPr>
              <w:spacing w:after="0"/>
            </w:pPr>
            <w:r/>
            <w:r>
              <w:rPr>
                <w:b w:val="0"/>
              </w:rPr>
              <w:t>Repository phase</w:t>
            </w:r>
          </w:p>
        </w:tc>
        <w:tc>
          <w:tcPr>
            <w:tcW w:type="dxa" w:w="8352"/>
            <w:vAlign w:val="center"/>
            <w:shd w:fill="EAF2F8"/>
          </w:tcPr>
          <w:p>
            <w:pPr>
              <w:spacing w:after="0"/>
            </w:pPr>
            <w:r/>
            <w:r>
              <w:rPr>
                <w:b w:val="0"/>
              </w:rPr>
              <w:t>353 | source lock and requirements/control matrix</w:t>
            </w:r>
          </w:p>
        </w:tc>
      </w:tr>
      <w:tr>
        <w:tc>
          <w:tcPr>
            <w:tcW w:type="dxa" w:w="2520"/>
            <w:vAlign w:val="center"/>
          </w:tcPr>
          <w:p>
            <w:pPr>
              <w:spacing w:after="0"/>
            </w:pPr>
            <w:r/>
            <w:r>
              <w:rPr>
                <w:b w:val="0"/>
              </w:rPr>
              <w:t>Execution mode</w:t>
            </w:r>
          </w:p>
        </w:tc>
        <w:tc>
          <w:tcPr>
            <w:tcW w:type="dxa" w:w="8352"/>
            <w:vAlign w:val="center"/>
          </w:tcPr>
          <w:p>
            <w:pPr>
              <w:spacing w:after="0"/>
            </w:pPr>
            <w:r/>
            <w:r>
              <w:rPr>
                <w:b w:val="0"/>
              </w:rPr>
              <w:t>LOCAL_ONLY; no staging, production, or external release action</w:t>
            </w:r>
          </w:p>
        </w:tc>
      </w:tr>
      <w:tr>
        <w:tc>
          <w:tcPr>
            <w:tcW w:type="dxa" w:w="2520"/>
            <w:vAlign w:val="center"/>
            <w:shd w:fill="EAF2F8"/>
          </w:tcPr>
          <w:p>
            <w:pPr>
              <w:spacing w:after="0"/>
            </w:pPr>
            <w:r/>
            <w:r>
              <w:rPr>
                <w:b w:val="0"/>
              </w:rPr>
              <w:t>Source commit</w:t>
            </w:r>
          </w:p>
        </w:tc>
        <w:tc>
          <w:tcPr>
            <w:tcW w:type="dxa" w:w="8352"/>
            <w:vAlign w:val="center"/>
            <w:shd w:fill="EAF2F8"/>
          </w:tcPr>
          <w:p>
            <w:pPr>
              <w:spacing w:after="0"/>
            </w:pPr>
            <w:r/>
            <w:r>
              <w:rPr>
                <w:b w:val="0"/>
              </w:rPr>
              <w:t>786cd4e8329db1a65398ce6aa7eb020ffc8f3b28</w:t>
            </w:r>
          </w:p>
        </w:tc>
      </w:tr>
      <w:tr>
        <w:tc>
          <w:tcPr>
            <w:tcW w:type="dxa" w:w="2520"/>
            <w:vAlign w:val="center"/>
          </w:tcPr>
          <w:p>
            <w:pPr>
              <w:spacing w:after="0"/>
            </w:pPr>
            <w:r/>
            <w:r>
              <w:rPr>
                <w:b w:val="0"/>
              </w:rPr>
              <w:t>External acceptance</w:t>
            </w:r>
          </w:p>
        </w:tc>
        <w:tc>
          <w:tcPr>
            <w:tcW w:type="dxa" w:w="8352"/>
            <w:vAlign w:val="center"/>
          </w:tcPr>
          <w:p>
            <w:pPr>
              <w:spacing w:after="0"/>
            </w:pPr>
            <w:r/>
            <w:r>
              <w:rPr>
                <w:b w:val="0"/>
              </w:rPr>
              <w:t>NOT_CLAIMED; BIR/provider/tax-practitioner/TWG review remains PENDING</w:t>
            </w:r>
          </w:p>
        </w:tc>
      </w:tr>
      <w:tr>
        <w:tc>
          <w:tcPr>
            <w:tcW w:type="dxa" w:w="2520"/>
            <w:vAlign w:val="center"/>
            <w:shd w:fill="EAF2F8"/>
          </w:tcPr>
          <w:p>
            <w:pPr>
              <w:spacing w:after="0"/>
            </w:pPr>
            <w:r/>
            <w:r>
              <w:rPr>
                <w:b w:val="0"/>
              </w:rPr>
              <w:t>Worktree</w:t>
            </w:r>
          </w:p>
        </w:tc>
        <w:tc>
          <w:tcPr>
            <w:tcW w:type="dxa" w:w="8352"/>
            <w:vAlign w:val="center"/>
            <w:shd w:fill="EAF2F8"/>
          </w:tcPr>
          <w:p>
            <w:pPr>
              <w:spacing w:after="0"/>
            </w:pPr>
            <w:r/>
            <w:r>
              <w:rPr>
                <w:b w:val="0"/>
              </w:rPr>
              <w:t>Dirty with unrelated changes; unrelated files were preserved</w:t>
            </w:r>
          </w:p>
        </w:tc>
      </w:tr>
    </w:tbl>
    <w:p/>
    <w:p>
      <w:pPr>
        <w:pStyle w:val="Heading1"/>
      </w:pPr>
      <w:r>
        <w:t>Implemented Section 02 controls</w:t>
      </w:r>
    </w:p>
    <w:p>
      <w:pPr>
        <w:pStyle w:val="ListBullet"/>
      </w:pPr>
      <w:r>
        <w:t>Added docs/compliance/evidence/annex-b-items-4-14-requirements-registry.json with exactly Items 4 through 14, the ten Section 02 requirement IDs, TEST-420 through TEST-423, AC-420 through AC-423, and the 49 approved fixture IDs.</w:t>
      </w:r>
      <w:r>
        <w:t xml:space="preserve"> The registry also contains the execution manifest required by the verification engine: every Section 02 requirement records plan section, downstream phase, affected components, dependencies, business rules, ADRs, tests, acceptance criteria, priority, status, and evidence.</w:t>
      </w:r>
    </w:p>
    <w:p>
      <w:pPr>
        <w:pStyle w:val="ListBullet"/>
      </w:pPr>
      <w:r>
        <w:t>Registered the approved plan documents, Section 01 baseline, official RMO source, internal e-Journal grammar and fixture, and Return readiness contract with SHA-256 records for repository files.</w:t>
      </w:r>
    </w:p>
    <w:p>
      <w:pPr>
        <w:pStyle w:val="ListBullet"/>
      </w:pPr>
      <w:r>
        <w:t>Mapped every Annex B item to its implementation phase, code/evidence/external-review owners, current source paths, applicability rule, evidence obligations, required metadata, test IDs, acceptance criteria, and explicit blocked/external-review status.</w:t>
      </w:r>
    </w:p>
    <w:p>
      <w:pPr>
        <w:pStyle w:val="ListBullet"/>
      </w:pPr>
      <w:r>
        <w:t>Encoded the evidence gate: an item cannot become INTERNAL_PASS until every obligation is generated, reviewed, checksum-verified, and marked REVIEWED. N/A requires reviewer-authored rationale and is never silent.</w:t>
      </w:r>
    </w:p>
    <w:p>
      <w:pPr>
        <w:pStyle w:val="ListBullet"/>
      </w:pPr>
      <w:r>
        <w:t>Added scripts/validate-annex-b-items-4-14-requirements.cjs and ten positive/negative tests covering matrix shape, N/A rationale, evidence completion, REP-401 metadata, false 100 percent scores, obsolete paths, source checksums, and external-status independence.</w:t>
      </w:r>
    </w:p>
    <w:p>
      <w:pPr>
        <w:pStyle w:val="ListBullet"/>
      </w:pPr>
      <w:r>
        <w:t>Added package commands check:annex-b-requirements and test:annex-b-requirements, plus compliance index, baseline, impact declaration, and Phase 353 ledger links.</w:t>
      </w:r>
    </w:p>
    <w:p>
      <w:pPr>
        <w:pStyle w:val="Heading1"/>
      </w:pPr>
      <w:r>
        <w:t>Requirements and fixture status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232"/>
            <w:vAlign w:val="center"/>
            <w:shd w:fill="1F4E78"/>
          </w:tcPr>
          <w:p>
            <w:pPr>
              <w:spacing w:after="0"/>
            </w:pPr>
            <w:r/>
            <w:r>
              <w:rPr>
                <w:b/>
                <w:color w:val="FFFFFF"/>
              </w:rPr>
              <w:t>Gate</w:t>
            </w:r>
          </w:p>
        </w:tc>
        <w:tc>
          <w:tcPr>
            <w:tcW w:type="dxa" w:w="1800"/>
            <w:vAlign w:val="center"/>
            <w:shd w:fill="1F4E78"/>
          </w:tcPr>
          <w:p>
            <w:pPr>
              <w:spacing w:after="0"/>
            </w:pPr>
            <w:r/>
            <w:r>
              <w:rPr>
                <w:b/>
                <w:color w:val="FFFFFF"/>
              </w:rPr>
              <w:t>Result</w:t>
            </w:r>
          </w:p>
        </w:tc>
        <w:tc>
          <w:tcPr>
            <w:tcW w:type="dxa" w:w="6840"/>
            <w:vAlign w:val="center"/>
            <w:shd w:fill="1F4E78"/>
          </w:tcPr>
          <w:p>
            <w:pPr>
              <w:spacing w:after="0"/>
            </w:pPr>
            <w:r/>
            <w:r>
              <w:rPr>
                <w:b/>
                <w:color w:val="FFFFFF"/>
              </w:rPr>
              <w:t>Evidence / boundary</w:t>
            </w:r>
          </w:p>
        </w:tc>
      </w:tr>
      <w:tr>
        <w:tc>
          <w:tcPr>
            <w:tcW w:type="dxa" w:w="2232"/>
            <w:vAlign w:val="center"/>
            <w:shd w:fill="EAF2F8"/>
          </w:tcPr>
          <w:p>
            <w:pPr>
              <w:spacing w:after="0"/>
            </w:pPr>
            <w:r/>
            <w:r>
              <w:rPr>
                <w:b w:val="0"/>
              </w:rPr>
              <w:t>Matrix coverage</w:t>
            </w:r>
          </w:p>
        </w:tc>
        <w:tc>
          <w:tcPr>
            <w:tcW w:type="dxa" w:w="1800"/>
            <w:vAlign w:val="center"/>
            <w:shd w:fill="EAF2F8"/>
          </w:tcPr>
          <w:p>
            <w:pPr>
              <w:spacing w:after="0"/>
            </w:pPr>
            <w:r/>
            <w:r>
              <w:rPr>
                <w:b w:val="0"/>
              </w:rPr>
              <w:t>PASS</w:t>
            </w:r>
          </w:p>
        </w:tc>
        <w:tc>
          <w:tcPr>
            <w:tcW w:type="dxa" w:w="6840"/>
            <w:vAlign w:val="center"/>
            <w:shd w:fill="EAF2F8"/>
          </w:tcPr>
          <w:p>
            <w:pPr>
              <w:spacing w:after="0"/>
            </w:pPr>
            <w:r/>
            <w:r>
              <w:rPr>
                <w:b w:val="0"/>
              </w:rPr>
              <w:t>11 ordered rows: Items 4-14; 49 unique fixtures; exact Section 02 IDs preserved.</w:t>
            </w:r>
          </w:p>
        </w:tc>
      </w:tr>
      <w:tr>
        <w:tc>
          <w:tcPr>
            <w:tcW w:type="dxa" w:w="2232"/>
            <w:vAlign w:val="center"/>
          </w:tcPr>
          <w:p>
            <w:pPr>
              <w:spacing w:after="0"/>
            </w:pPr>
            <w:r/>
            <w:r>
              <w:rPr>
                <w:b w:val="0"/>
              </w:rPr>
              <w:t>Item 4 control definition</w:t>
            </w:r>
          </w:p>
        </w:tc>
        <w:tc>
          <w:tcPr>
            <w:tcW w:type="dxa" w:w="1800"/>
            <w:vAlign w:val="center"/>
          </w:tcPr>
          <w:p>
            <w:pPr>
              <w:spacing w:after="0"/>
            </w:pPr>
            <w:r/>
            <w:r>
              <w:rPr>
                <w:b w:val="0"/>
              </w:rPr>
              <w:t>PASS / DEFERRED</w:t>
            </w:r>
          </w:p>
        </w:tc>
        <w:tc>
          <w:tcPr>
            <w:tcW w:type="dxa" w:w="6840"/>
            <w:vAlign w:val="center"/>
          </w:tcPr>
          <w:p>
            <w:pPr>
              <w:spacing w:after="0"/>
            </w:pPr>
            <w:r/>
            <w:r>
              <w:rPr>
                <w:b w:val="0"/>
              </w:rPr>
              <w:t>Scenario matrix and evidence gate exist; stable runtime samples remain Phase 354.</w:t>
            </w:r>
          </w:p>
        </w:tc>
      </w:tr>
      <w:tr>
        <w:tc>
          <w:tcPr>
            <w:tcW w:type="dxa" w:w="2232"/>
            <w:vAlign w:val="center"/>
            <w:shd w:fill="EAF2F8"/>
          </w:tcPr>
          <w:p>
            <w:pPr>
              <w:spacing w:after="0"/>
            </w:pPr>
            <w:r/>
            <w:r>
              <w:rPr>
                <w:b w:val="0"/>
              </w:rPr>
              <w:t>Item 5 control definition</w:t>
            </w:r>
          </w:p>
        </w:tc>
        <w:tc>
          <w:tcPr>
            <w:tcW w:type="dxa" w:w="1800"/>
            <w:vAlign w:val="center"/>
            <w:shd w:fill="EAF2F8"/>
          </w:tcPr>
          <w:p>
            <w:pPr>
              <w:spacing w:after="0"/>
            </w:pPr>
            <w:r/>
            <w:r>
              <w:rPr>
                <w:b w:val="0"/>
              </w:rPr>
              <w:t>PASS / DEFERRED</w:t>
            </w:r>
          </w:p>
        </w:tc>
        <w:tc>
          <w:tcPr>
            <w:tcW w:type="dxa" w:w="6840"/>
            <w:vAlign w:val="center"/>
            <w:shd w:fill="EAF2F8"/>
          </w:tcPr>
          <w:p>
            <w:pPr>
              <w:spacing w:after="0"/>
            </w:pPr>
            <w:r/>
            <w:r>
              <w:rPr>
                <w:b w:val="0"/>
              </w:rPr>
              <w:t>Original-document linkage and Return contract are registered; runtime adjustments remain Phase 355.</w:t>
            </w:r>
          </w:p>
        </w:tc>
      </w:tr>
      <w:tr>
        <w:tc>
          <w:tcPr>
            <w:tcW w:type="dxa" w:w="2232"/>
            <w:vAlign w:val="center"/>
          </w:tcPr>
          <w:p>
            <w:pPr>
              <w:spacing w:after="0"/>
            </w:pPr>
            <w:r/>
            <w:r>
              <w:rPr>
                <w:b w:val="0"/>
              </w:rPr>
              <w:t>Item 6-7 control definitions</w:t>
            </w:r>
          </w:p>
        </w:tc>
        <w:tc>
          <w:tcPr>
            <w:tcW w:type="dxa" w:w="1800"/>
            <w:vAlign w:val="center"/>
          </w:tcPr>
          <w:p>
            <w:pPr>
              <w:spacing w:after="0"/>
            </w:pPr>
            <w:r/>
            <w:r>
              <w:rPr>
                <w:b w:val="0"/>
              </w:rPr>
              <w:t>PASS / DEFERRED</w:t>
            </w:r>
          </w:p>
        </w:tc>
        <w:tc>
          <w:tcPr>
            <w:tcW w:type="dxa" w:w="6840"/>
            <w:vAlign w:val="center"/>
          </w:tcPr>
          <w:p>
            <w:pPr>
              <w:spacing w:after="0"/>
            </w:pPr>
            <w:r/>
            <w:r>
              <w:rPr>
                <w:b w:val="0"/>
              </w:rPr>
              <w:t>Reading/report obligations are registered; reconciled samples remain Phases 356-357.</w:t>
            </w:r>
          </w:p>
        </w:tc>
      </w:tr>
      <w:tr>
        <w:tc>
          <w:tcPr>
            <w:tcW w:type="dxa" w:w="2232"/>
            <w:vAlign w:val="center"/>
            <w:shd w:fill="EAF2F8"/>
          </w:tcPr>
          <w:p>
            <w:pPr>
              <w:spacing w:after="0"/>
            </w:pPr>
            <w:r/>
            <w:r>
              <w:rPr>
                <w:b w:val="0"/>
              </w:rPr>
              <w:t>Item 8 control definition</w:t>
            </w:r>
          </w:p>
        </w:tc>
        <w:tc>
          <w:tcPr>
            <w:tcW w:type="dxa" w:w="1800"/>
            <w:vAlign w:val="center"/>
            <w:shd w:fill="EAF2F8"/>
          </w:tcPr>
          <w:p>
            <w:pPr>
              <w:spacing w:after="0"/>
            </w:pPr>
            <w:r/>
            <w:r>
              <w:rPr>
                <w:b w:val="0"/>
              </w:rPr>
              <w:t>PASS / DEFERRED</w:t>
            </w:r>
          </w:p>
        </w:tc>
        <w:tc>
          <w:tcPr>
            <w:tcW w:type="dxa" w:w="6840"/>
            <w:vAlign w:val="center"/>
            <w:shd w:fill="EAF2F8"/>
          </w:tcPr>
          <w:p>
            <w:pPr>
              <w:spacing w:after="0"/>
            </w:pPr>
            <w:r/>
            <w:r>
              <w:rPr>
                <w:b w:val="0"/>
              </w:rPr>
              <w:t>EJOURNAL-READINESS-0.1 is linked; runtime serializer and completeness evidence remain Phase 358.</w:t>
            </w:r>
          </w:p>
        </w:tc>
      </w:tr>
      <w:tr>
        <w:tc>
          <w:tcPr>
            <w:tcW w:type="dxa" w:w="2232"/>
            <w:vAlign w:val="center"/>
          </w:tcPr>
          <w:p>
            <w:pPr>
              <w:spacing w:after="0"/>
            </w:pPr>
            <w:r/>
            <w:r>
              <w:rPr>
                <w:b w:val="0"/>
              </w:rPr>
              <w:t>Items 9-14 documentary controls</w:t>
            </w:r>
          </w:p>
        </w:tc>
        <w:tc>
          <w:tcPr>
            <w:tcW w:type="dxa" w:w="1800"/>
            <w:vAlign w:val="center"/>
          </w:tcPr>
          <w:p>
            <w:pPr>
              <w:spacing w:after="0"/>
            </w:pPr>
            <w:r/>
            <w:r>
              <w:rPr>
                <w:b w:val="0"/>
              </w:rPr>
              <w:t>PASS / DEFERRED</w:t>
            </w:r>
          </w:p>
        </w:tc>
        <w:tc>
          <w:tcPr>
            <w:tcW w:type="dxa" w:w="6840"/>
            <w:vAlign w:val="center"/>
          </w:tcPr>
          <w:p>
            <w:pPr>
              <w:spacing w:after="0"/>
            </w:pPr>
            <w:r/>
            <w:r>
              <w:rPr>
                <w:b w:val="0"/>
              </w:rPr>
              <w:t>Narrative, version, connectivity, manual, audit, and DRP obligations are registered; evidence remains Phases 359-360.</w:t>
            </w:r>
          </w:p>
        </w:tc>
      </w:tr>
      <w:tr>
        <w:tc>
          <w:tcPr>
            <w:tcW w:type="dxa" w:w="2232"/>
            <w:vAlign w:val="center"/>
            <w:shd w:fill="EAF2F8"/>
          </w:tcPr>
          <w:p>
            <w:pPr>
              <w:spacing w:after="0"/>
            </w:pPr>
            <w:r/>
            <w:r>
              <w:rPr>
                <w:b w:val="0"/>
              </w:rPr>
              <w:t>Current internal score</w:t>
            </w:r>
          </w:p>
        </w:tc>
        <w:tc>
          <w:tcPr>
            <w:tcW w:type="dxa" w:w="1800"/>
            <w:vAlign w:val="center"/>
            <w:shd w:fill="EAF2F8"/>
          </w:tcPr>
          <w:p>
            <w:pPr>
              <w:spacing w:after="0"/>
            </w:pPr>
            <w:r/>
            <w:r>
              <w:rPr>
                <w:b w:val="0"/>
              </w:rPr>
              <w:t>0%</w:t>
            </w:r>
          </w:p>
        </w:tc>
        <w:tc>
          <w:tcPr>
            <w:tcW w:type="dxa" w:w="6840"/>
            <w:vAlign w:val="center"/>
            <w:shd w:fill="EAF2F8"/>
          </w:tcPr>
          <w:p>
            <w:pPr>
              <w:spacing w:after="0"/>
            </w:pPr>
            <w:r/>
            <w:r>
              <w:rPr>
                <w:b w:val="0"/>
              </w:rPr>
              <w:t>0 internal passes; 11 blocked; 100% is ineligible until all evidence gates pass.</w:t>
            </w:r>
          </w:p>
        </w:tc>
      </w:tr>
      <w:tr>
        <w:tc>
          <w:tcPr>
            <w:tcW w:type="dxa" w:w="2232"/>
            <w:vAlign w:val="center"/>
          </w:tcPr>
          <w:p>
            <w:pPr>
              <w:spacing w:after="0"/>
            </w:pPr>
            <w:r/>
            <w:r>
              <w:rPr>
                <w:b w:val="0"/>
              </w:rPr>
              <w:t>External readiness</w:t>
            </w:r>
          </w:p>
        </w:tc>
        <w:tc>
          <w:tcPr>
            <w:tcW w:type="dxa" w:w="1800"/>
            <w:vAlign w:val="center"/>
          </w:tcPr>
          <w:p>
            <w:pPr>
              <w:spacing w:after="0"/>
            </w:pPr>
            <w:r/>
            <w:r>
              <w:rPr>
                <w:b w:val="0"/>
              </w:rPr>
              <w:t>PENDING</w:t>
            </w:r>
          </w:p>
        </w:tc>
        <w:tc>
          <w:tcPr>
            <w:tcW w:type="dxa" w:w="6840"/>
            <w:vAlign w:val="center"/>
          </w:tcPr>
          <w:p>
            <w:pPr>
              <w:spacing w:after="0"/>
            </w:pPr>
            <w:r/>
            <w:r>
              <w:rPr>
                <w:b w:val="0"/>
              </w:rPr>
              <w:t>Local registry execution does not claim BIR or provider approval.</w:t>
            </w:r>
          </w:p>
        </w:tc>
      </w:tr>
    </w:tbl>
    <w:p/>
    <w:p>
      <w:pPr>
        <w:pStyle w:val="Heading1"/>
      </w:pPr>
      <w:r>
        <w:t>Automated verification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232"/>
            <w:vAlign w:val="center"/>
            <w:shd w:fill="1F4E78"/>
          </w:tcPr>
          <w:p>
            <w:pPr>
              <w:spacing w:after="0"/>
            </w:pPr>
            <w:r/>
            <w:r>
              <w:rPr>
                <w:b/>
                <w:color w:val="FFFFFF"/>
              </w:rPr>
              <w:t>Gate</w:t>
            </w:r>
          </w:p>
        </w:tc>
        <w:tc>
          <w:tcPr>
            <w:tcW w:type="dxa" w:w="1800"/>
            <w:vAlign w:val="center"/>
            <w:shd w:fill="1F4E78"/>
          </w:tcPr>
          <w:p>
            <w:pPr>
              <w:spacing w:after="0"/>
            </w:pPr>
            <w:r/>
            <w:r>
              <w:rPr>
                <w:b/>
                <w:color w:val="FFFFFF"/>
              </w:rPr>
              <w:t>Result</w:t>
            </w:r>
          </w:p>
        </w:tc>
        <w:tc>
          <w:tcPr>
            <w:tcW w:type="dxa" w:w="6840"/>
            <w:vAlign w:val="center"/>
            <w:shd w:fill="1F4E78"/>
          </w:tcPr>
          <w:p>
            <w:pPr>
              <w:spacing w:after="0"/>
            </w:pPr>
            <w:r/>
            <w:r>
              <w:rPr>
                <w:b/>
                <w:color w:val="FFFFFF"/>
              </w:rPr>
              <w:t>Evidence / boundary</w:t>
            </w:r>
          </w:p>
        </w:tc>
      </w:tr>
      <w:tr>
        <w:tc>
          <w:tcPr>
            <w:tcW w:type="dxa" w:w="2232"/>
            <w:vAlign w:val="center"/>
            <w:shd w:fill="EAF2F8"/>
          </w:tcPr>
          <w:p>
            <w:pPr>
              <w:spacing w:after="0"/>
            </w:pPr>
            <w:r/>
            <w:r>
              <w:rPr>
                <w:b w:val="0"/>
              </w:rPr>
              <w:t>npm run check:annex-b-requirements</w:t>
            </w:r>
          </w:p>
        </w:tc>
        <w:tc>
          <w:tcPr>
            <w:tcW w:type="dxa" w:w="1800"/>
            <w:vAlign w:val="center"/>
            <w:shd w:fill="EAF2F8"/>
          </w:tcPr>
          <w:p>
            <w:pPr>
              <w:spacing w:after="0"/>
            </w:pPr>
            <w:r/>
            <w:r>
              <w:rPr>
                <w:b w:val="0"/>
              </w:rPr>
              <w:t>PASS</w:t>
            </w:r>
          </w:p>
        </w:tc>
        <w:tc>
          <w:tcPr>
            <w:tcW w:type="dxa" w:w="6840"/>
            <w:vAlign w:val="center"/>
            <w:shd w:fill="EAF2F8"/>
          </w:tcPr>
          <w:p>
            <w:pPr>
              <w:spacing w:after="0"/>
            </w:pPr>
            <w:r/>
            <w:r>
              <w:rPr>
                <w:b w:val="0"/>
              </w:rPr>
              <w:t>Registry source paths and SHA-256 records validate; 11 items, 0 passes, 11 blocked, score 0%.</w:t>
            </w:r>
          </w:p>
        </w:tc>
      </w:tr>
      <w:tr>
        <w:tc>
          <w:tcPr>
            <w:tcW w:type="dxa" w:w="2232"/>
            <w:vAlign w:val="center"/>
          </w:tcPr>
          <w:p>
            <w:pPr>
              <w:spacing w:after="0"/>
            </w:pPr>
            <w:r/>
            <w:r>
              <w:rPr>
                <w:b w:val="0"/>
              </w:rPr>
              <w:t>npm run test:annex-b-requirements</w:t>
            </w:r>
          </w:p>
        </w:tc>
        <w:tc>
          <w:tcPr>
            <w:tcW w:type="dxa" w:w="1800"/>
            <w:vAlign w:val="center"/>
          </w:tcPr>
          <w:p>
            <w:pPr>
              <w:spacing w:after="0"/>
            </w:pPr>
            <w:r/>
            <w:r>
              <w:rPr>
                <w:b w:val="0"/>
              </w:rPr>
              <w:t>PASS</w:t>
            </w:r>
          </w:p>
        </w:tc>
        <w:tc>
          <w:tcPr>
            <w:tcW w:type="dxa" w:w="6840"/>
            <w:vAlign w:val="center"/>
          </w:tcPr>
          <w:p>
            <w:pPr>
              <w:spacing w:after="0"/>
            </w:pPr>
            <w:r>
              <w:t>10 tests passed, 0 failed.</w:t>
            </w:r>
          </w:p>
        </w:tc>
      </w:tr>
      <w:tr>
        <w:tc>
          <w:tcPr>
            <w:tcW w:type="dxa" w:w="2232"/>
            <w:vAlign w:val="center"/>
            <w:shd w:fill="EAF2F8"/>
          </w:tcPr>
          <w:p>
            <w:pPr>
              <w:spacing w:after="0"/>
            </w:pPr>
            <w:r/>
            <w:r>
              <w:rPr>
                <w:b w:val="0"/>
              </w:rPr>
              <w:t>npm run check:annex-b-readiness</w:t>
            </w:r>
          </w:p>
        </w:tc>
        <w:tc>
          <w:tcPr>
            <w:tcW w:type="dxa" w:w="1800"/>
            <w:vAlign w:val="center"/>
            <w:shd w:fill="EAF2F8"/>
          </w:tcPr>
          <w:p>
            <w:pPr>
              <w:spacing w:after="0"/>
            </w:pPr>
            <w:r/>
            <w:r>
              <w:rPr>
                <w:b w:val="0"/>
              </w:rPr>
              <w:t>PASS</w:t>
            </w:r>
          </w:p>
        </w:tc>
        <w:tc>
          <w:tcPr>
            <w:tcW w:type="dxa" w:w="6840"/>
            <w:vAlign w:val="center"/>
            <w:shd w:fill="EAF2F8"/>
          </w:tcPr>
          <w:p>
            <w:pPr>
              <w:spacing w:after="0"/>
            </w:pPr>
            <w:r/>
            <w:r>
              <w:rPr>
                <w:b w:val="0"/>
              </w:rPr>
              <w:t>Section 01 baseline remains valid; 11 items, 0 passes, 11 blocked, score 0%.</w:t>
            </w:r>
          </w:p>
        </w:tc>
      </w:tr>
      <w:tr>
        <w:tc>
          <w:tcPr>
            <w:tcW w:type="dxa" w:w="2232"/>
            <w:vAlign w:val="center"/>
          </w:tcPr>
          <w:p>
            <w:pPr>
              <w:spacing w:after="0"/>
            </w:pPr>
            <w:r/>
            <w:r>
              <w:rPr>
                <w:b w:val="0"/>
              </w:rPr>
              <w:t>npm run test:annex-b-readiness</w:t>
            </w:r>
          </w:p>
        </w:tc>
        <w:tc>
          <w:tcPr>
            <w:tcW w:type="dxa" w:w="1800"/>
            <w:vAlign w:val="center"/>
          </w:tcPr>
          <w:p>
            <w:pPr>
              <w:spacing w:after="0"/>
            </w:pPr>
            <w:r/>
            <w:r>
              <w:rPr>
                <w:b w:val="0"/>
              </w:rPr>
              <w:t>PASS</w:t>
            </w:r>
          </w:p>
        </w:tc>
        <w:tc>
          <w:tcPr>
            <w:tcW w:type="dxa" w:w="6840"/>
            <w:vAlign w:val="center"/>
          </w:tcPr>
          <w:p>
            <w:pPr>
              <w:spacing w:after="0"/>
            </w:pPr>
            <w:r/>
            <w:r>
              <w:rPr>
                <w:b w:val="0"/>
              </w:rPr>
              <w:t>7 tests passed, 0 failed.</w:t>
            </w:r>
          </w:p>
        </w:tc>
      </w:tr>
      <w:tr>
        <w:tc>
          <w:tcPr>
            <w:tcW w:type="dxa" w:w="2232"/>
            <w:vAlign w:val="center"/>
            <w:shd w:fill="EAF2F8"/>
          </w:tcPr>
          <w:p>
            <w:pPr>
              <w:spacing w:after="0"/>
            </w:pPr>
            <w:r/>
            <w:r>
              <w:rPr>
                <w:b w:val="0"/>
              </w:rPr>
              <w:t>npm run lint:docs</w:t>
            </w:r>
          </w:p>
        </w:tc>
        <w:tc>
          <w:tcPr>
            <w:tcW w:type="dxa" w:w="1800"/>
            <w:vAlign w:val="center"/>
            <w:shd w:fill="EAF2F8"/>
          </w:tcPr>
          <w:p>
            <w:pPr>
              <w:spacing w:after="0"/>
            </w:pPr>
            <w:r/>
            <w:r>
              <w:rPr>
                <w:b w:val="0"/>
              </w:rPr>
              <w:t>PASS</w:t>
            </w:r>
          </w:p>
        </w:tc>
        <w:tc>
          <w:tcPr>
            <w:tcW w:type="dxa" w:w="6840"/>
            <w:vAlign w:val="center"/>
            <w:shd w:fill="EAF2F8"/>
          </w:tcPr>
          <w:p>
            <w:pPr>
              <w:spacing w:after="0"/>
            </w:pPr>
            <w:r/>
            <w:r>
              <w:rPr>
                <w:b w:val="0"/>
              </w:rPr>
              <w:t>Governed document and ADR lint completed during this execution.</w:t>
            </w:r>
          </w:p>
        </w:tc>
      </w:tr>
      <w:tr>
        <w:tc>
          <w:tcPr>
            <w:tcW w:type="dxa" w:w="2232"/>
            <w:vAlign w:val="center"/>
          </w:tcPr>
          <w:p>
            <w:pPr>
              <w:spacing w:after="0"/>
            </w:pPr>
            <w:r/>
            <w:r>
              <w:rPr>
                <w:b w:val="0"/>
              </w:rPr>
              <w:t>npm run check:architecture</w:t>
            </w:r>
          </w:p>
        </w:tc>
        <w:tc>
          <w:tcPr>
            <w:tcW w:type="dxa" w:w="1800"/>
            <w:vAlign w:val="center"/>
          </w:tcPr>
          <w:p>
            <w:pPr>
              <w:spacing w:after="0"/>
            </w:pPr>
            <w:r/>
            <w:r>
              <w:rPr>
                <w:b w:val="0"/>
              </w:rPr>
              <w:t>PASS</w:t>
            </w:r>
          </w:p>
        </w:tc>
        <w:tc>
          <w:tcPr>
            <w:tcW w:type="dxa" w:w="6840"/>
            <w:vAlign w:val="center"/>
          </w:tcPr>
          <w:p>
            <w:pPr>
              <w:spacing w:after="0"/>
            </w:pPr>
            <w:r/>
            <w:r>
              <w:rPr>
                <w:b w:val="0"/>
              </w:rPr>
              <w:t>Architecture guardrails and controller boundary checks completed; no runtime files were changed.</w:t>
            </w:r>
          </w:p>
        </w:tc>
      </w:tr>
      <w:tr>
        <w:tc>
          <w:tcPr>
            <w:tcW w:type="dxa" w:w="2232"/>
            <w:vAlign w:val="center"/>
            <w:shd w:fill="EAF2F8"/>
          </w:tcPr>
          <w:p>
            <w:pPr>
              <w:spacing w:after="0"/>
            </w:pPr>
            <w:r/>
            <w:r>
              <w:rPr>
                <w:b w:val="0"/>
              </w:rPr>
              <w:t>git diff --check</w:t>
            </w:r>
          </w:p>
        </w:tc>
        <w:tc>
          <w:tcPr>
            <w:tcW w:type="dxa" w:w="1800"/>
            <w:vAlign w:val="center"/>
            <w:shd w:fill="EAF2F8"/>
          </w:tcPr>
          <w:p>
            <w:pPr>
              <w:spacing w:after="0"/>
            </w:pPr>
            <w:r/>
            <w:r>
              <w:rPr>
                <w:b w:val="0"/>
              </w:rPr>
              <w:t>PASS</w:t>
            </w:r>
          </w:p>
        </w:tc>
        <w:tc>
          <w:tcPr>
            <w:tcW w:type="dxa" w:w="6840"/>
            <w:vAlign w:val="center"/>
            <w:shd w:fill="EAF2F8"/>
          </w:tcPr>
          <w:p>
            <w:pPr>
              <w:spacing w:after="0"/>
            </w:pPr>
            <w:r/>
            <w:r>
              <w:rPr>
                <w:b w:val="0"/>
              </w:rPr>
              <w:t>No added whitespace errors in the scoped changes; existing CRLF warnings are non-blocking.</w:t>
            </w:r>
          </w:p>
        </w:tc>
      </w:tr>
      <w:tr>
        <w:tc>
          <w:tcPr>
            <w:tcW w:type="dxa" w:w="2232"/>
            <w:vAlign w:val="center"/>
          </w:tcPr>
          <w:p>
            <w:pPr>
              <w:spacing w:after="0"/>
            </w:pPr>
            <w:r/>
            <w:r>
              <w:rPr>
                <w:b w:val="0"/>
              </w:rPr>
              <w:t>npm run check:compliance</w:t>
            </w:r>
          </w:p>
        </w:tc>
        <w:tc>
          <w:tcPr>
            <w:tcW w:type="dxa" w:w="1800"/>
            <w:vAlign w:val="center"/>
          </w:tcPr>
          <w:p>
            <w:pPr>
              <w:spacing w:after="0"/>
            </w:pPr>
            <w:r/>
            <w:r>
              <w:rPr>
                <w:b w:val="0"/>
              </w:rPr>
              <w:t>BLOCKED / PRE-EXISTING</w:t>
            </w:r>
          </w:p>
        </w:tc>
        <w:tc>
          <w:tcPr>
            <w:tcW w:type="dxa" w:w="6840"/>
            <w:vAlign w:val="center"/>
          </w:tcPr>
          <w:p>
            <w:pPr>
              <w:spacing w:after="0"/>
            </w:pPr>
            <w:r/>
            <w:r>
              <w:rPr>
                <w:b w:val="0"/>
              </w:rPr>
              <w:t>The same four uncommitted 2026-09-26 registration declarations fail the repository-wide sweep; the Phase 353 declaration adds no new failure.</w:t>
            </w:r>
          </w:p>
        </w:tc>
      </w:tr>
    </w:tbl>
    <w:p/>
    <w:p>
      <w:pPr>
        <w:pStyle w:val="Heading1"/>
      </w:pPr>
      <w:r>
        <w:t>Acceptance gates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232"/>
            <w:vAlign w:val="center"/>
            <w:shd w:fill="1F4E78"/>
          </w:tcPr>
          <w:p>
            <w:pPr>
              <w:spacing w:after="0"/>
            </w:pPr>
            <w:r/>
            <w:r>
              <w:rPr>
                <w:b/>
                <w:color w:val="FFFFFF"/>
              </w:rPr>
              <w:t>Gate</w:t>
            </w:r>
          </w:p>
        </w:tc>
        <w:tc>
          <w:tcPr>
            <w:tcW w:type="dxa" w:w="1800"/>
            <w:vAlign w:val="center"/>
            <w:shd w:fill="1F4E78"/>
          </w:tcPr>
          <w:p>
            <w:pPr>
              <w:spacing w:after="0"/>
            </w:pPr>
            <w:r/>
            <w:r>
              <w:rPr>
                <w:b/>
                <w:color w:val="FFFFFF"/>
              </w:rPr>
              <w:t>Result</w:t>
            </w:r>
          </w:p>
        </w:tc>
        <w:tc>
          <w:tcPr>
            <w:tcW w:type="dxa" w:w="6840"/>
            <w:vAlign w:val="center"/>
            <w:shd w:fill="1F4E78"/>
          </w:tcPr>
          <w:p>
            <w:pPr>
              <w:spacing w:after="0"/>
            </w:pPr>
            <w:r/>
            <w:r>
              <w:rPr>
                <w:b/>
                <w:color w:val="FFFFFF"/>
              </w:rPr>
              <w:t>Evidence / boundary</w:t>
            </w:r>
          </w:p>
        </w:tc>
      </w:tr>
      <w:tr>
        <w:tc>
          <w:tcPr>
            <w:tcW w:type="dxa" w:w="2232"/>
            <w:vAlign w:val="center"/>
            <w:shd w:fill="EAF2F8"/>
          </w:tcPr>
          <w:p>
            <w:pPr>
              <w:spacing w:after="0"/>
            </w:pPr>
            <w:r/>
            <w:r>
              <w:rPr>
                <w:b w:val="0"/>
              </w:rPr>
              <w:t>AC-420</w:t>
            </w:r>
          </w:p>
        </w:tc>
        <w:tc>
          <w:tcPr>
            <w:tcW w:type="dxa" w:w="1800"/>
            <w:vAlign w:val="center"/>
            <w:shd w:fill="EAF2F8"/>
          </w:tcPr>
          <w:p>
            <w:pPr>
              <w:spacing w:after="0"/>
            </w:pPr>
            <w:r/>
            <w:r>
              <w:rPr>
                <w:b w:val="0"/>
              </w:rPr>
              <w:t>PASS</w:t>
            </w:r>
          </w:p>
        </w:tc>
        <w:tc>
          <w:tcPr>
            <w:tcW w:type="dxa" w:w="6840"/>
            <w:vAlign w:val="center"/>
            <w:shd w:fill="EAF2F8"/>
          </w:tcPr>
          <w:p>
            <w:pPr>
              <w:spacing w:after="0"/>
            </w:pPr>
            <w:r/>
            <w:r>
              <w:rPr>
                <w:b w:val="0"/>
              </w:rPr>
              <w:t>Registry contains exactly Items 4-14 and distinguishes runtime behavior from documentary submission evidence.</w:t>
            </w:r>
          </w:p>
        </w:tc>
      </w:tr>
      <w:tr>
        <w:tc>
          <w:tcPr>
            <w:tcW w:type="dxa" w:w="2232"/>
            <w:vAlign w:val="center"/>
          </w:tcPr>
          <w:p>
            <w:pPr>
              <w:spacing w:after="0"/>
            </w:pPr>
            <w:r/>
            <w:r>
              <w:rPr>
                <w:b w:val="0"/>
              </w:rPr>
              <w:t>AC-421</w:t>
            </w:r>
          </w:p>
        </w:tc>
        <w:tc>
          <w:tcPr>
            <w:tcW w:type="dxa" w:w="1800"/>
            <w:vAlign w:val="center"/>
          </w:tcPr>
          <w:p>
            <w:pPr>
              <w:spacing w:after="0"/>
            </w:pPr>
            <w:r/>
            <w:r>
              <w:rPr>
                <w:b w:val="0"/>
              </w:rPr>
              <w:t>DEFERRED</w:t>
            </w:r>
          </w:p>
        </w:tc>
        <w:tc>
          <w:tcPr>
            <w:tcW w:type="dxa" w:w="6840"/>
            <w:vAlign w:val="center"/>
          </w:tcPr>
          <w:p>
            <w:pPr>
              <w:spacing w:after="0"/>
            </w:pPr>
            <w:r/>
            <w:r>
              <w:rPr>
                <w:b w:val="0"/>
              </w:rPr>
              <w:t>Requires generated and reconciled Item 4 runtime samples; the registry now defines the gate and fixtures.</w:t>
            </w:r>
          </w:p>
        </w:tc>
      </w:tr>
      <w:tr>
        <w:tc>
          <w:tcPr>
            <w:tcW w:type="dxa" w:w="2232"/>
            <w:vAlign w:val="center"/>
            <w:shd w:fill="EAF2F8"/>
          </w:tcPr>
          <w:p>
            <w:pPr>
              <w:spacing w:after="0"/>
            </w:pPr>
            <w:r/>
            <w:r>
              <w:rPr>
                <w:b w:val="0"/>
              </w:rPr>
              <w:t>AC-422</w:t>
            </w:r>
          </w:p>
        </w:tc>
        <w:tc>
          <w:tcPr>
            <w:tcW w:type="dxa" w:w="1800"/>
            <w:vAlign w:val="center"/>
            <w:shd w:fill="EAF2F8"/>
          </w:tcPr>
          <w:p>
            <w:pPr>
              <w:spacing w:after="0"/>
            </w:pPr>
            <w:r/>
            <w:r>
              <w:rPr>
                <w:b w:val="0"/>
              </w:rPr>
              <w:t>DEFERRED</w:t>
            </w:r>
          </w:p>
        </w:tc>
        <w:tc>
          <w:tcPr>
            <w:tcW w:type="dxa" w:w="6840"/>
            <w:vAlign w:val="center"/>
            <w:shd w:fill="EAF2F8"/>
          </w:tcPr>
          <w:p>
            <w:pPr>
              <w:spacing w:after="0"/>
            </w:pPr>
            <w:r/>
            <w:r>
              <w:rPr>
                <w:b w:val="0"/>
              </w:rPr>
              <w:t>Requires generated Item 5 adjustment samples showing original document numbers and non-destructive status.</w:t>
            </w:r>
          </w:p>
        </w:tc>
      </w:tr>
      <w:tr>
        <w:tc>
          <w:tcPr>
            <w:tcW w:type="dxa" w:w="2232"/>
            <w:vAlign w:val="center"/>
          </w:tcPr>
          <w:p>
            <w:pPr>
              <w:spacing w:after="0"/>
            </w:pPr>
            <w:r/>
            <w:r>
              <w:rPr>
                <w:b w:val="0"/>
              </w:rPr>
              <w:t>AC-423</w:t>
            </w:r>
          </w:p>
        </w:tc>
        <w:tc>
          <w:tcPr>
            <w:tcW w:type="dxa" w:w="1800"/>
            <w:vAlign w:val="center"/>
          </w:tcPr>
          <w:p>
            <w:pPr>
              <w:spacing w:after="0"/>
            </w:pPr>
            <w:r/>
            <w:r>
              <w:rPr>
                <w:b w:val="0"/>
              </w:rPr>
              <w:t>PASS</w:t>
            </w:r>
          </w:p>
        </w:tc>
        <w:tc>
          <w:tcPr>
            <w:tcW w:type="dxa" w:w="6840"/>
            <w:vAlign w:val="center"/>
          </w:tcPr>
          <w:p>
            <w:pPr>
              <w:spacing w:after="0"/>
            </w:pPr>
            <w:r/>
            <w:r>
              <w:rPr>
                <w:b w:val="0"/>
              </w:rPr>
              <w:t>The computed score is evidence-gated; current 0% cannot report 100% while obligations are blocked.</w:t>
            </w:r>
          </w:p>
        </w:tc>
      </w:tr>
    </w:tbl>
    <w:p/>
    <w:p>
      <w:pPr>
        <w:pStyle w:val="Heading1"/>
      </w:pPr>
      <w:r>
        <w:t>Data, security, release, and rollback impact</w:t>
      </w:r>
    </w:p>
    <w:p>
      <w:pPr>
        <w:pStyle w:val="ListBullet"/>
      </w:pPr>
      <w:r>
        <w:t>Database changes: none. No migration, fiscal transaction, audit row, final-review record, or runtime configuration was written.</w:t>
      </w:r>
    </w:p>
    <w:p>
      <w:pPr>
        <w:pStyle w:val="ListBullet"/>
      </w:pPr>
      <w:r>
        <w:t>Runtime/API changes: none. Receipt, adjustment, reading, report, e-Journal, permission, and UI behavior remain unchanged in this Section 02 slice.</w:t>
      </w:r>
    </w:p>
    <w:p>
      <w:pPr>
        <w:pStyle w:val="ListBullet"/>
      </w:pPr>
      <w:r>
        <w:t>Security and data integrity: the registry requires tenant/location/terminal/date-range/source-commit/checksum metadata, preserves immutable-original and provisional-offline rules, and requires secret-scrubbing controls for later audit evidence.</w:t>
      </w:r>
    </w:p>
    <w:p>
      <w:pPr>
        <w:pStyle w:val="ListBullet"/>
      </w:pPr>
      <w:r>
        <w:t>Release: local evidence foundation only. No staging credentials, staging URL, deployment, release, or rollback action was used.</w:t>
      </w:r>
    </w:p>
    <w:p>
      <w:pPr>
        <w:pStyle w:val="ListBullet"/>
      </w:pPr>
      <w:r>
        <w:t>Rollback: remove the Section 02 registry, validator/tests, package commands, documentation links, declaration updates, and execution record together. Do not reset the dirty checkout or delete fiscal/evidence data.</w:t>
      </w:r>
    </w:p>
    <w:p>
      <w:pPr>
        <w:pStyle w:val="Heading1"/>
      </w:pPr>
      <w:r>
        <w:t>Remaining blockers and next eligible phase</w:t>
      </w:r>
    </w:p>
    <w:p>
      <w:pPr>
        <w:pStyle w:val="ListBullet"/>
      </w:pPr>
      <w:r>
        <w:t>Section 02 is implemented and verified as a requirements/control-matrix artifact. It does not make Items 4 through 14 runtime-complete.</w:t>
      </w:r>
    </w:p>
    <w:p>
      <w:pPr>
        <w:pStyle w:val="ListBullet"/>
      </w:pPr>
      <w:r>
        <w:t>All 11 items remain INTERNAL BLOCKED because their later evidence obligations have not been generated, reviewed, and checksum-verified.</w:t>
      </w:r>
    </w:p>
    <w:p>
      <w:pPr>
        <w:pStyle w:val="ListBullet"/>
      </w:pPr>
      <w:r>
        <w:t>The unrelated repository-wide compliance failures and the previously observed unrelated report regression remain with their owning changes; they are not caused by this registry slice.</w:t>
      </w:r>
    </w:p>
    <w:p>
      <w:pPr>
        <w:pStyle w:val="ListBullet"/>
      </w:pPr>
      <w:r>
        <w:t>External BIR/provider/tax-practitioner/TWG review remains PENDING and is not required for this local Phase 353 record.</w:t>
      </w:r>
    </w:p>
    <w:p>
      <w:pPr>
        <w:pStyle w:val="ListBullet"/>
      </w:pPr>
      <w:r>
        <w:t>Phase 354 is the next eligible phase for fiscal receipt completeness after the Phase 353 source-lock and control-matrix gates pass.</w:t>
      </w:r>
    </w:p>
    <w:p>
      <w:pPr>
        <w:pStyle w:val="Heading1"/>
      </w:pPr>
      <w:r>
        <w:t>Final status</w:t>
      </w:r>
    </w:p>
    <w:p>
      <w:r>
        <w:rPr>
          <w:b/>
        </w:rPr>
        <w:t xml:space="preserve">SECTION 02 REGISTRY IMPLEMENTED AND VERIFIED. </w:t>
      </w:r>
      <w:r>
        <w:t>The approved requirements matrix is executable and guarded by automated validation. The overall Annex B Items 4-14 readiness plan is not complete: runtime evidence phases remain blocked, and no BIR/provider approval is claimed.</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Phase 353 | Section 02 | Local-only readiness record | 2026-10-03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