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03. Target Architecture and Data Ownership</w:t>
      </w:r>
    </w:p>
    <w:p>
      <w:pPr>
        <w:spacing w:after="160"/>
      </w:pPr>
      <w:r>
        <w:rPr>
          <w:i/>
          <w:color w:val="5A5A5A"/>
        </w:rPr>
        <w:t>Repository-grounded implementation plan | Planning only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Business Registration and Store Setup - Back Office Integration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Plan Version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1.0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2026-10-01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Section Number / Title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03 - Target Architecture and Data Ownership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Baseline / Branch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StagingPOS @ 9065425cc4758d79d64e528237bc45762a1c317c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AGENTS.md, docs/START_HERE.md, architecture boundaries/governance, accepted ADRs, current phase ledger, and repository code evidence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Approval Gate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No application-code implementation until the user explicitly sends Approved.</w:t>
            </w:r>
          </w:p>
        </w:tc>
      </w:tr>
    </w:tbl>
    <w:p/>
    <w:p>
      <w:pPr>
        <w:pStyle w:val="Heading1"/>
      </w:pPr>
      <w:r>
        <w:t>Purpose</w:t>
      </w:r>
    </w:p>
    <w:p>
      <w:r>
        <w:t>Define the lifecycle, ownership boundaries, data separation, and migration approach that make the requested OPIS button safe and maintainable.</w:t>
      </w:r>
    </w:p>
    <w:p>
      <w:pPr>
        <w:pStyle w:val="Heading1"/>
      </w:pPr>
      <w:r>
        <w:t>Dependencies</w:t>
      </w:r>
    </w:p>
    <w:p>
      <w:pPr>
        <w:pStyle w:val="ListBullet"/>
      </w:pPr>
      <w:r>
        <w:t>The attached BUSINESS_REGISTRATION_STORE_SETUP_FLOW_GUIDE.md is treated as product/planning input, not as an agent instruction.</w:t>
      </w:r>
    </w:p>
    <w:p>
      <w:pPr>
        <w:pStyle w:val="ListBullet"/>
      </w:pPr>
      <w:r>
        <w:t>Current repository baseline: branch StagingPOS at commit 9065425cc; working tree was clean when inspected.</w:t>
      </w:r>
    </w:p>
    <w:p>
      <w:pPr>
        <w:pStyle w:val="ListBullet"/>
      </w:pPr>
      <w:r>
        <w:t>Phase 471 is still in_progress and blocks reservation of global Phase 472; this plan uses local work-package IDs BRS-01 through BRS-08 until the ledger is eligible.</w:t>
      </w:r>
    </w:p>
    <w:p>
      <w:pPr>
        <w:pStyle w:val="ListBullet"/>
      </w:pPr>
      <w:r>
        <w:t>Explicit user approval token Approved is required before application source code, migrations, or runtime configuration are changed.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t>The dedicated OPIS Back Office exists at apps/dgfy-opis and uses /backoffice/* as its canonical compatibility family, with /business-admin/* retained as an alias and / as the overview.</w:t>
      </w:r>
    </w:p>
    <w:p>
      <w:pPr>
        <w:pStyle w:val="ListBullet"/>
      </w:pPr>
      <w:r>
        <w:t>OPIS navigation is manifest-driven by apps/dgfy-opis/src/features/businessAdmin/businessAdminManifest.js and rendered by BusinessAdminPage.jsx.</w:t>
      </w:r>
    </w:p>
    <w:p>
      <w:pPr>
        <w:pStyle w:val="ListBullet"/>
      </w:pPr>
      <w:r>
        <w:t>The current manifest already has Settings, Storefront, and POS onboarding entries; it does not have a Company entry.</w:t>
      </w:r>
    </w:p>
    <w:p>
      <w:pPr>
        <w:pStyle w:val="ListBullet"/>
      </w:pPr>
      <w:r>
        <w:t>The current architecture separates OPIS Back Office from POS terminal operations; POS is not the owner of new Back Office-level work.</w:t>
      </w:r>
    </w:p>
    <w:p>
      <w:pPr>
        <w:pStyle w:val="ListBullet"/>
      </w:pPr>
      <w:r>
        <w:t>Current registration is a manual-approval flow backed by the landlord-side registration use case and application model; it is not a tenant-ready setup wizard.</w:t>
      </w:r>
    </w:p>
    <w:p>
      <w:pPr>
        <w:pStyle w:val="ListBullet"/>
      </w:pPr>
      <w:r>
        <w:t>Existing Storefront and shared web-core settings components exist for business identity, gallery, delivery partners, hours, location, and menu import, but the attached three-step registration experience is not yet implemented end to end.</w:t>
      </w:r>
    </w:p>
    <w:p>
      <w:pPr>
        <w:pStyle w:val="ListBullet"/>
      </w:pPr>
      <w:r>
        <w:t>Current menu import is tenant-scoped and asynchronous; pre-approval uploads therefore require a separate landlord-side staged-file design.</w:t>
      </w:r>
    </w:p>
    <w:p>
      <w:pPr>
        <w:pStyle w:val="Heading1"/>
      </w:pPr>
      <w:r>
        <w:t>Assumptions</w:t>
      </w:r>
    </w:p>
    <w:p>
      <w:pPr>
        <w:pStyle w:val="ListBullet"/>
      </w:pPr>
      <w:r>
        <w:t>The requested button label 'Copany' is an apparent typo; the plan recommends the user-facing label Company and treats exact spelling as an approval decision.</w:t>
      </w:r>
    </w:p>
    <w:p>
      <w:pPr>
        <w:pStyle w:val="ListBullet"/>
      </w:pPr>
      <w:r>
        <w:t>The OPIS Company workspace is post-approval and tenant-scoped; public pre-approval registration is not moved into OPIS by adding a sidebar item.</w:t>
      </w:r>
    </w:p>
    <w:p>
      <w:pPr>
        <w:pStyle w:val="ListBullet"/>
      </w:pPr>
      <w:r>
        <w:t>The existing IMS Tenant Manager remains the platform-admin review/download owner unless an explicit architecture decision changes that ownership.</w:t>
      </w:r>
    </w:p>
    <w:p>
      <w:pPr>
        <w:pStyle w:val="ListBullet"/>
      </w:pPr>
      <w:r>
        <w:t>Existing canonical settings and onboarding APIs are reused where they satisfy the contract; duplicate storage and duplicate business logic are not introduced.</w:t>
      </w:r>
    </w:p>
    <w:p>
      <w:pPr>
        <w:pStyle w:val="Heading1"/>
      </w:pPr>
      <w:r>
        <w:t>Requirements Covered</w:t>
      </w:r>
    </w:p>
    <w:p>
      <w:pPr>
        <w:pStyle w:val="ListBullet"/>
      </w:pPr>
      <w:r>
        <w:t>FR-BRS-002</w:t>
      </w:r>
    </w:p>
    <w:p>
      <w:pPr>
        <w:pStyle w:val="ListBullet"/>
      </w:pPr>
      <w:r>
        <w:t>FR-BRS-004</w:t>
      </w:r>
    </w:p>
    <w:p>
      <w:pPr>
        <w:pStyle w:val="ListBullet"/>
      </w:pPr>
      <w:r>
        <w:t>FR-BRS-005</w:t>
      </w:r>
    </w:p>
    <w:p>
      <w:pPr>
        <w:pStyle w:val="ListBullet"/>
      </w:pPr>
      <w:r>
        <w:t>FR-BRS-006</w:t>
      </w:r>
    </w:p>
    <w:p>
      <w:pPr>
        <w:pStyle w:val="ListBullet"/>
      </w:pPr>
      <w:r>
        <w:t>FR-BRS-008</w:t>
      </w:r>
    </w:p>
    <w:p>
      <w:pPr>
        <w:pStyle w:val="ListBullet"/>
      </w:pPr>
      <w:r>
        <w:t>FR-BRS-009</w:t>
      </w:r>
    </w:p>
    <w:p>
      <w:pPr>
        <w:pStyle w:val="ListBullet"/>
      </w:pPr>
      <w:r>
        <w:t>FR-BRS-010</w:t>
      </w:r>
    </w:p>
    <w:p>
      <w:pPr>
        <w:pStyle w:val="Heading1"/>
      </w:pPr>
      <w:r>
        <w:t>Plan Content</w:t>
      </w:r>
    </w:p>
    <w:p>
      <w:pPr>
        <w:pStyle w:val="Heading2"/>
      </w:pPr>
      <w:r>
        <w:t>Lifecycle Flow</w:t>
      </w:r>
    </w:p>
    <w:p>
      <w:r>
        <w:t>DGFY account -&gt; public three-step registration -&gt; landlord-side pending application and private staged uploads -&gt; platform-admin review in IMS -&gt; approved provisioning -&gt; idempotent materialization into tenant Storefront/location settings -&gt; tenant master admin completes or reviews setup in OPIS Company -&gt; menu extraction/review -&gt; explicit catalog confirmation.</w:t>
      </w:r>
    </w:p>
    <w:p>
      <w:pPr>
        <w:pStyle w:val="Heading2"/>
      </w:pPr>
      <w:r>
        <w:t>Ownership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Canonical owner</w:t>
            </w:r>
          </w:p>
        </w:tc>
        <w:tc>
          <w:tcPr>
            <w:tcW w:type="dxa" w:w="2016"/>
            <w:shd w:fill="1F4E78"/>
          </w:tcPr>
          <w:p>
            <w:r>
              <w:rPr>
                <w:b/>
                <w:color w:val="FFFFFF"/>
              </w:rPr>
              <w:t>Data scope</w:t>
            </w:r>
          </w:p>
        </w:tc>
        <w:tc>
          <w:tcPr>
            <w:tcW w:type="dxa" w:w="3024"/>
            <w:shd w:fill="1F4E78"/>
          </w:tcPr>
          <w:p>
            <w:r>
              <w:rPr>
                <w:b/>
                <w:color w:val="FFFFFF"/>
              </w:rPr>
              <w:t>OPIS behavior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Public company registration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t>Storefront + landlord registration module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DGFY account / landlord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t>Link/status only; no pre-approval write.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Pending application review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t>Platform admin / IMS Tenant Manager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Landlord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t>Not duplicated in OPIS.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Approved company settings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t>OPIS Business Admin + existing settings APIs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Tenant and branch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t>Company workspace and canonical editors.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Location and hours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t>Existing settings/location services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Tenant/branch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t>Reuse and link from Company.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Original uploads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t>Private landlord-side storage service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Application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t>No public URL; OPIS does not become storage owner.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Extracted menu data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t>Async extraction and admin review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Application/review artifact until confirmation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t>Show status or deep link; do not auto-publish.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Live catalog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t>Catalog/inventory owner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Tenant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t>Only after explicit reviewed confirmation.</w:t>
            </w:r>
          </w:p>
        </w:tc>
      </w:tr>
    </w:tbl>
    <w:p/>
    <w:p>
      <w:pPr>
        <w:pStyle w:val="Heading2"/>
      </w:pPr>
      <w:r>
        <w:t>Data Model Direction</w:t>
      </w:r>
    </w:p>
    <w:p>
      <w:r>
        <w:t>The implementation must first inspect the existing landlord registration application schema and migrations. If there is no suitable structured snapshot/upload relation, add additive landlord-side records for submitted setup snapshot, original upload metadata, storage object reference, content hash, extraction status, review status, and audit timestamps. Exact model/table names are implementation decisions after schema inspection; this plan deliberately does not invent them.</w:t>
      </w:r>
    </w:p>
    <w:p>
      <w:pPr>
        <w:pStyle w:val="Heading2"/>
      </w:pPr>
      <w:r>
        <w:t>Tenant Materialization Contract</w:t>
      </w:r>
    </w:p>
    <w:p>
      <w:pPr>
        <w:pStyle w:val="ListBullet"/>
      </w:pPr>
      <w:r>
        <w:t>Approval is the only trigger allowed to cross from landlord application data into tenant configuration.</w:t>
      </w:r>
    </w:p>
    <w:p>
      <w:pPr>
        <w:pStyle w:val="ListBullet"/>
      </w:pPr>
      <w:r>
        <w:t>Materialization must be idempotent by application/tenant identity and expose a durable completion marker or reconciliation status.</w:t>
      </w:r>
    </w:p>
    <w:p>
      <w:pPr>
        <w:pStyle w:val="ListBullet"/>
      </w:pPr>
      <w:r>
        <w:t>Partial failure must be retryable without creating duplicate branches, gallery assets, delivery partners, business hours, or settings rows.</w:t>
      </w:r>
    </w:p>
    <w:p>
      <w:pPr>
        <w:pStyle w:val="ListBullet"/>
      </w:pPr>
      <w:r>
        <w:t>Tenant materialization must use existing service/repository owners instead of direct SQL from the OPIS page or registration controller.</w:t>
      </w:r>
    </w:p>
    <w:p>
      <w:pPr>
        <w:pStyle w:val="ListBullet"/>
      </w:pPr>
      <w:r>
        <w:t>Menu originals and extraction outputs remain separate from live catalog rows until an authorized review/confirmation command succeeds.</w:t>
      </w:r>
    </w:p>
    <w:p>
      <w:pPr>
        <w:pStyle w:val="Heading2"/>
      </w:pPr>
      <w:r>
        <w:t>Migration Decision</w:t>
      </w:r>
    </w:p>
    <w:p>
      <w:r>
        <w:t>A migration is only required if the current landlord application cannot represent the required snapshot/upload/audit state. Prefer additive landlord migrations. No tenant-schema migration is expected for the pre-approval staging boundary, but this must be confirmed during BRS-01. Any migration must have fresh-schema, upgrade, rollback, and tenant-isolation evidence.</w:t>
      </w:r>
    </w:p>
    <w:p>
      <w:pPr>
        <w:pStyle w:val="Heading1"/>
      </w:pPr>
      <w:r>
        <w:t>Affected Components</w:t>
      </w:r>
    </w:p>
    <w:p>
      <w:pPr>
        <w:pStyle w:val="ListBullet"/>
      </w:pPr>
      <w:r>
        <w:t>Landlord registration models/repositories</w:t>
      </w:r>
    </w:p>
    <w:p>
      <w:pPr>
        <w:pStyle w:val="ListBullet"/>
      </w:pPr>
      <w:r>
        <w:t>Approval/provisioning use case</w:t>
      </w:r>
    </w:p>
    <w:p>
      <w:pPr>
        <w:pStyle w:val="ListBullet"/>
      </w:pPr>
      <w:r>
        <w:t>Tenant settings and location services</w:t>
      </w:r>
    </w:p>
    <w:p>
      <w:pPr>
        <w:pStyle w:val="ListBullet"/>
      </w:pPr>
      <w:r>
        <w:t>Menu import worker/review records</w:t>
      </w:r>
    </w:p>
    <w:p>
      <w:pPr>
        <w:pStyle w:val="ListBullet"/>
      </w:pPr>
      <w:r>
        <w:t>OPIS business-admin bootstrap/capability projection</w:t>
      </w:r>
    </w:p>
    <w:p>
      <w:pPr>
        <w:pStyle w:val="Heading1"/>
      </w:pPr>
      <w:r>
        <w:t>Risks</w:t>
      </w:r>
    </w:p>
    <w:p>
      <w:pPr>
        <w:pStyle w:val="ListBullet"/>
      </w:pPr>
      <w:r>
        <w:t>Cross-tenant data leakage</w:t>
      </w:r>
    </w:p>
    <w:p>
      <w:pPr>
        <w:pStyle w:val="ListBullet"/>
      </w:pPr>
      <w:r>
        <w:t>Non-idempotent approval creates duplicate setup</w:t>
      </w:r>
    </w:p>
    <w:p>
      <w:pPr>
        <w:pStyle w:val="ListBullet"/>
      </w:pPr>
      <w:r>
        <w:t>Direct tenant writes in public registration</w:t>
      </w:r>
    </w:p>
    <w:p>
      <w:pPr>
        <w:pStyle w:val="ListBullet"/>
      </w:pPr>
      <w:r>
        <w:t>Unbounded staged file retention</w:t>
      </w:r>
    </w:p>
    <w:p>
      <w:pPr>
        <w:pStyle w:val="ListBullet"/>
      </w:pPr>
      <w:r>
        <w:t>Migration changes tenant schema unnecessarily</w:t>
      </w:r>
    </w:p>
    <w:p>
      <w:pPr>
        <w:pStyle w:val="Heading1"/>
      </w:pPr>
      <w:r>
        <w:t>Tests Required</w:t>
      </w:r>
    </w:p>
    <w:p>
      <w:pPr>
        <w:pStyle w:val="ListBullet"/>
      </w:pPr>
      <w:r>
        <w:t>Schema and migration inspection</w:t>
      </w:r>
    </w:p>
    <w:p>
      <w:pPr>
        <w:pStyle w:val="ListBullet"/>
      </w:pPr>
      <w:r>
        <w:t>Transaction/rollback tests</w:t>
      </w:r>
    </w:p>
    <w:p>
      <w:pPr>
        <w:pStyle w:val="ListBullet"/>
      </w:pPr>
      <w:r>
        <w:t>Idempotency and retry tests</w:t>
      </w:r>
    </w:p>
    <w:p>
      <w:pPr>
        <w:pStyle w:val="ListBullet"/>
      </w:pPr>
      <w:r>
        <w:t>Tenant-isolation tests</w:t>
      </w:r>
    </w:p>
    <w:p>
      <w:pPr>
        <w:pStyle w:val="ListBullet"/>
      </w:pPr>
      <w:r>
        <w:t>Fresh-schema and upgrade rehearsal in disposable databases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Data ownership matrix is enforced by implementation and tests</w:t>
      </w:r>
    </w:p>
    <w:p>
      <w:pPr>
        <w:pStyle w:val="ListBullet"/>
      </w:pPr>
      <w:r>
        <w:t>Approval is a hard materialization boundary</w:t>
      </w:r>
    </w:p>
    <w:p>
      <w:pPr>
        <w:pStyle w:val="ListBullet"/>
      </w:pPr>
      <w:r>
        <w:t>No public registration path writes tenant data</w:t>
      </w:r>
    </w:p>
    <w:p>
      <w:pPr>
        <w:pStyle w:val="ListBullet"/>
      </w:pPr>
      <w:r>
        <w:t>Any migration is additive and justified by schema evidence</w:t>
      </w:r>
    </w:p>
    <w:p>
      <w:pPr>
        <w:pStyle w:val="Heading1"/>
      </w:pPr>
      <w:r>
        <w:t>Execution Dependencies</w:t>
      </w:r>
    </w:p>
    <w:p>
      <w:pPr>
        <w:pStyle w:val="ListBullet"/>
      </w:pPr>
      <w:r>
        <w:t>BRS-01 schema audit</w:t>
      </w:r>
    </w:p>
    <w:p>
      <w:pPr>
        <w:pStyle w:val="ListBullet"/>
      </w:pPr>
      <w:r>
        <w:t>Current approval/provisioning hook</w:t>
      </w:r>
    </w:p>
    <w:p>
      <w:pPr>
        <w:pStyle w:val="ListBullet"/>
      </w:pPr>
      <w:r>
        <w:t>ADR 0049 review boundary</w:t>
      </w:r>
    </w:p>
    <w:p>
      <w:pPr>
        <w:pStyle w:val="ListBullet"/>
      </w:pPr>
      <w:r>
        <w:t>Database migration runner and tenant-schema policy</w:t>
      </w:r>
    </w:p>
    <w:p>
      <w:pPr>
        <w:pStyle w:val="ListBullet"/>
      </w:pPr>
      <w:r>
        <w:t>Approved open decisions</w:t>
      </w:r>
    </w:p>
    <w:p>
      <w:pPr>
        <w:pStyle w:val="Heading1"/>
      </w:pPr>
      <w:r>
        <w:t>Cross-References</w:t>
      </w:r>
    </w:p>
    <w:p>
      <w:pPr>
        <w:pStyle w:val="ListBullet"/>
      </w:pPr>
      <w:r>
        <w:t>AGENTS.md (repository boundaries, approval gate, continuous phase numbering, and planning lookup order).</w:t>
      </w:r>
    </w:p>
    <w:p>
      <w:pPr>
        <w:pStyle w:val="ListBullet"/>
      </w:pPr>
      <w:r>
        <w:t>docs/START_HERE.md; docs/architecture/ARCHITECTURE_BOUNDARIES.md; docs/architecture/ARCHITECTURE_GOVERNANCE.md.</w:t>
      </w:r>
    </w:p>
    <w:p>
      <w:pPr>
        <w:pStyle w:val="ListBullet"/>
      </w:pPr>
      <w:r>
        <w:t>docs/architecture/adr/0013-tenant-first-login-onboarding-and-storefront-readiness-contract.md.</w:t>
      </w:r>
    </w:p>
    <w:p>
      <w:pPr>
        <w:pStyle w:val="ListBullet"/>
      </w:pPr>
      <w:r>
        <w:t>docs/architecture/adr/0022-global-dgfy-account-business-registration.md.</w:t>
      </w:r>
    </w:p>
    <w:p>
      <w:pPr>
        <w:pStyle w:val="ListBullet"/>
      </w:pPr>
      <w:r>
        <w:t>docs/architecture/adr/0029-catalog-inventory-pos-storefront-ownership-boundaries.md.</w:t>
      </w:r>
    </w:p>
    <w:p>
      <w:pPr>
        <w:pStyle w:val="ListBullet"/>
      </w:pPr>
      <w:r>
        <w:t>docs/architecture/adr/0049-batch-menu-import-async-extraction.md.</w:t>
      </w:r>
    </w:p>
    <w:p>
      <w:pPr>
        <w:pStyle w:val="ListBullet"/>
      </w:pPr>
      <w:r>
        <w:t>docs/architecture/adr/0087-dedicated-back-office-fourth-frontend-app-opis.md and proposed 0088 POS/OPIS boundary.</w:t>
      </w:r>
    </w:p>
    <w:p>
      <w:pPr>
        <w:pStyle w:val="ListBullet"/>
      </w:pPr>
      <w:r>
        <w:t>docs/features/backoffice.md and docs/features/IMPLEMENTATION_PHASE_LEDGER.md.</w:t>
      </w:r>
    </w:p>
    <w:p>
      <w:pPr>
        <w:pStyle w:val="ListBullet"/>
      </w:pPr>
      <w:r>
        <w:t>Attached BUSINESS_REGISTRATION_STORE_SETUP_FLOW_GUIDE.md.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Business Registration and Store Setup - Back Office Integration | Plan v1.0 | 2026-10-01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