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i w:val="0"/>
          <w:color w:val="0F2D4E"/>
          <w:sz w:val="44"/>
        </w:rPr>
        <w:t>POS Delivery Provider Payment Breakdown</w:t>
      </w:r>
    </w:p>
    <w:p>
      <w:pPr>
        <w:spacing w:after="80"/>
      </w:pPr>
      <w:r>
        <w:rPr>
          <w:rFonts w:ascii="Aptos" w:hAnsi="Aptos"/>
          <w:b/>
          <w:i w:val="0"/>
          <w:color w:val="1A5B7E"/>
          <w:sz w:val="24"/>
        </w:rPr>
        <w:t>Section 06  |  Z-Reading, Reports, Export, and Printer Plan</w:t>
      </w:r>
    </w:p>
    <w:p>
      <w:r>
        <w:rPr>
          <w:rFonts w:ascii="Aptos" w:hAnsi="Aptos"/>
          <w:b w:val="0"/>
          <w:i/>
          <w:color w:val="475569"/>
          <w:sz w:val="21"/>
        </w:rPr>
        <w:t>Defines how one canonical delivery-provider snapshot reaches every reporting and physical-output surface without changing sales or tender totals.</w:t>
      </w:r>
    </w:p>
    <w:tbl>
      <w:tblPr>
        <w:tblW w:type="auto" w:w="0"/>
        <w:jc w:val="left"/>
        <w:tblLayout w:type="autofit"/>
        <w:tblLook w:firstColumn="1" w:firstRow="1" w:lastColumn="0" w:lastRow="0" w:noHBand="0" w:noVBand="1" w:val="04A0"/>
      </w:tblPr>
      <w:tblGrid>
        <w:gridCol w:w="4997"/>
        <w:gridCol w:w="4997"/>
      </w:tblGrid>
      <w:tr>
        <w:tc>
          <w:tcPr>
            <w:tcW w:type="dxa" w:w="4997"/>
            <w:shd w:fill="EAF2F8"/>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i w:val="0"/>
                <w:color w:val="0F172A"/>
                <w:sz w:val="19"/>
              </w:rPr>
              <w:t>Project Name</w:t>
            </w:r>
          </w:p>
        </w:tc>
        <w:tc>
          <w:tcPr>
            <w:tcW w:type="dxa" w:w="4997"/>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val="0"/>
                <w:i w:val="0"/>
                <w:color w:val="0F172A"/>
                <w:sz w:val="19"/>
              </w:rPr>
              <w:t>POS Delivery Provider Payment Breakdown</w:t>
            </w:r>
          </w:p>
        </w:tc>
      </w:tr>
      <w:tr>
        <w:tc>
          <w:tcPr>
            <w:tcW w:type="dxa" w:w="4997"/>
            <w:shd w:fill="EAF2F8"/>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i w:val="0"/>
                <w:color w:val="0F172A"/>
                <w:sz w:val="19"/>
              </w:rPr>
              <w:t>Plan Version</w:t>
            </w:r>
          </w:p>
        </w:tc>
        <w:tc>
          <w:tcPr>
            <w:tcW w:type="dxa" w:w="4997"/>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val="0"/>
                <w:i w:val="0"/>
                <w:color w:val="0F172A"/>
                <w:sz w:val="19"/>
              </w:rPr>
              <w:t>v1.0</w:t>
            </w:r>
          </w:p>
        </w:tc>
      </w:tr>
      <w:tr>
        <w:tc>
          <w:tcPr>
            <w:tcW w:type="dxa" w:w="4997"/>
            <w:shd w:fill="EAF2F8"/>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i w:val="0"/>
                <w:color w:val="0F172A"/>
                <w:sz w:val="19"/>
              </w:rPr>
              <w:t>Section Number / Title</w:t>
            </w:r>
          </w:p>
        </w:tc>
        <w:tc>
          <w:tcPr>
            <w:tcW w:type="dxa" w:w="4997"/>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val="0"/>
                <w:i w:val="0"/>
                <w:color w:val="0F172A"/>
                <w:sz w:val="19"/>
              </w:rPr>
              <w:t>06 / Z-Reading, Reports, Export, and Printer Plan</w:t>
            </w:r>
          </w:p>
        </w:tc>
      </w:tr>
      <w:tr>
        <w:tc>
          <w:tcPr>
            <w:tcW w:type="dxa" w:w="4997"/>
            <w:shd w:fill="EAF2F8"/>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i w:val="0"/>
                <w:color w:val="0F172A"/>
                <w:sz w:val="19"/>
              </w:rPr>
              <w:t>Baseline</w:t>
            </w:r>
          </w:p>
        </w:tc>
        <w:tc>
          <w:tcPr>
            <w:tcW w:type="dxa" w:w="4997"/>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val="0"/>
                <w:i w:val="0"/>
                <w:color w:val="0F172A"/>
                <w:sz w:val="19"/>
              </w:rPr>
              <w:t>StagingPOS @ 8b879d4b5 (2026-10-02)</w:t>
            </w:r>
          </w:p>
        </w:tc>
      </w:tr>
      <w:tr>
        <w:tc>
          <w:tcPr>
            <w:tcW w:type="dxa" w:w="4997"/>
            <w:shd w:fill="EAF2F8"/>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i w:val="0"/>
                <w:color w:val="0F172A"/>
                <w:sz w:val="19"/>
              </w:rPr>
              <w:t>Repository / Worktree</w:t>
            </w:r>
          </w:p>
        </w:tc>
        <w:tc>
          <w:tcPr>
            <w:tcW w:type="dxa" w:w="4997"/>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val="0"/>
                <w:i w:val="0"/>
                <w:color w:val="0F172A"/>
                <w:sz w:val="19"/>
              </w:rPr>
              <w:t>C:\xampp\htdocs\POS-DGFY\.worktrees\StagingPOS</w:t>
            </w:r>
          </w:p>
        </w:tc>
      </w:tr>
      <w:tr>
        <w:tc>
          <w:tcPr>
            <w:tcW w:type="dxa" w:w="4997"/>
            <w:shd w:fill="EAF2F8"/>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i w:val="0"/>
                <w:color w:val="0F172A"/>
                <w:sz w:val="19"/>
              </w:rPr>
              <w:t>Dependencies</w:t>
            </w:r>
          </w:p>
        </w:tc>
        <w:tc>
          <w:tcPr>
            <w:tcW w:type="dxa" w:w="4997"/>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val="0"/>
                <w:i w:val="0"/>
                <w:color w:val="0F172A"/>
                <w:sz w:val="19"/>
              </w:rPr>
              <w:t>Sections 02-05; docs/api/specification.md; existing repository report/Z-reading helpers and print tests.</w:t>
            </w:r>
          </w:p>
        </w:tc>
      </w:tr>
    </w:tbl>
    <w:p/>
    <w:p>
      <w:pPr>
        <w:pStyle w:val="Heading1"/>
      </w:pPr>
      <w:r>
        <w:t>Purpose</w:t>
      </w:r>
    </w:p>
    <w:p>
      <w:r>
        <w:rPr>
          <w:rFonts w:ascii="Aptos" w:hAnsi="Aptos"/>
          <w:b w:val="0"/>
          <w:i w:val="0"/>
          <w:sz w:val="21"/>
        </w:rPr>
        <w:t>Defines how one canonical delivery-provider snapshot reaches every reporting and physical-output surface without changing sales or tender totals.</w:t>
      </w:r>
    </w:p>
    <w:p>
      <w:pPr>
        <w:pStyle w:val="Heading1"/>
      </w:pPr>
      <w:r>
        <w:t>Confirmed Facts</w:t>
      </w:r>
    </w:p>
    <w:p>
      <w:pPr>
        <w:pStyle w:val="ListBullet"/>
      </w:pPr>
      <w:r>
        <w:rPr>
          <w:rFonts w:ascii="Aptos" w:hAnsi="Aptos"/>
          <w:b w:val="0"/>
          <w:i w:val="0"/>
          <w:sz w:val="20"/>
        </w:rPr>
        <w:t>CONFIRMED: The POS F&amp;B flow already has an order_method value of delivery in packages/web-core/src/features/pos/components/FnbWorkflowPanel.jsx and related hooks.</w:t>
      </w:r>
    </w:p>
    <w:p>
      <w:pPr>
        <w:pStyle w:val="ListBullet"/>
      </w:pPr>
      <w:r>
        <w:rPr>
          <w:rFonts w:ascii="Aptos" w:hAnsi="Aptos"/>
          <w:b w:val="0"/>
          <w:i w:val="0"/>
          <w:sz w:val="20"/>
        </w:rPr>
        <w:t>CONFIRMED: The current checkout dialog's generic Payment Type options are cash, GCash, Maya, Card, Bank Transfer, and Employee Credit; Foodpanda and Grab are not current direct checkout payment types.</w:t>
      </w:r>
    </w:p>
    <w:p>
      <w:pPr>
        <w:pStyle w:val="ListBullet"/>
      </w:pPr>
      <w:r>
        <w:rPr>
          <w:rFonts w:ascii="Aptos" w:hAnsi="Aptos"/>
          <w:b w:val="0"/>
          <w:i w:val="0"/>
          <w:sz w:val="20"/>
        </w:rPr>
        <w:t>CONFIRMED: The backend checkout validator accepts generic payment_type values and does not currently accept a delivery-provider breakdown field.</w:t>
      </w:r>
    </w:p>
    <w:p>
      <w:pPr>
        <w:pStyle w:val="ListBullet"/>
      </w:pPr>
      <w:r>
        <w:rPr>
          <w:rFonts w:ascii="Aptos" w:hAnsi="Aptos"/>
          <w:b w:val="0"/>
          <w:i w:val="0"/>
          <w:sz w:val="20"/>
        </w:rPr>
        <w:t>CONFIRMED: Completed transactions already persist an immutable generic payment_breakdown snapshot used by receipts and reporting.</w:t>
      </w:r>
    </w:p>
    <w:p>
      <w:pPr>
        <w:pStyle w:val="ListBullet"/>
      </w:pPr>
      <w:r>
        <w:rPr>
          <w:rFonts w:ascii="Aptos" w:hAnsi="Aptos"/>
          <w:b w:val="0"/>
          <w:i w:val="0"/>
          <w:sz w:val="20"/>
        </w:rPr>
        <w:t>CONFIRMED: Z-reading details are saved immutable snapshots and are not reconstructed from mutable live transactions after close.</w:t>
      </w:r>
    </w:p>
    <w:p>
      <w:pPr>
        <w:pStyle w:val="ListBullet"/>
      </w:pPr>
      <w:r>
        <w:rPr>
          <w:rFonts w:ascii="Aptos" w:hAnsi="Aptos"/>
          <w:b w:val="0"/>
          <w:i w:val="0"/>
          <w:sz w:val="20"/>
        </w:rPr>
        <w:t>CONFIRMED: The repository has a route -&gt; controller -&gt; usecase -&gt; repository -&gt; model architecture and architecture guardrails pass at the baseline.</w:t>
      </w:r>
    </w:p>
    <w:p>
      <w:pPr>
        <w:pStyle w:val="ListBullet"/>
      </w:pPr>
      <w:r>
        <w:rPr>
          <w:rFonts w:ascii="Aptos" w:hAnsi="Aptos"/>
          <w:b w:val="0"/>
          <w:i w:val="0"/>
          <w:sz w:val="20"/>
        </w:rPr>
        <w:t>INFERRED: Foodpanda, Grab, and Other are delivery-provider classifications, not replacements for the generic tender method used for settlement and cash/tender reporting.</w:t>
      </w:r>
    </w:p>
    <w:p>
      <w:pPr>
        <w:pStyle w:val="ListBullet"/>
      </w:pPr>
      <w:r>
        <w:rPr>
          <w:rFonts w:ascii="Aptos" w:hAnsi="Aptos"/>
          <w:b w:val="0"/>
          <w:i w:val="0"/>
          <w:sz w:val="20"/>
        </w:rPr>
        <w:t>CONFIRMED: Report breakdowns and exports are built from apps/dgfy-api/src/modules/pos/repositories/posRepository.js.</w:t>
      </w:r>
    </w:p>
    <w:p>
      <w:pPr>
        <w:pStyle w:val="ListBullet"/>
      </w:pPr>
      <w:r>
        <w:rPr>
          <w:rFonts w:ascii="Aptos" w:hAnsi="Aptos"/>
          <w:b w:val="0"/>
          <w:i w:val="0"/>
          <w:sz w:val="20"/>
        </w:rPr>
        <w:t>CONFIRMED: Z-reading close and saved-history endpoints expose payment_breakdown and use immutable snapshot records after close.</w:t>
      </w:r>
    </w:p>
    <w:p>
      <w:pPr>
        <w:pStyle w:val="ListBullet"/>
      </w:pPr>
      <w:r>
        <w:rPr>
          <w:rFonts w:ascii="Aptos" w:hAnsi="Aptos"/>
          <w:b w:val="0"/>
          <w:i w:val="0"/>
          <w:sz w:val="20"/>
        </w:rPr>
        <w:t>CONFIRMED: PosReportsAnalyticsWorkspace.jsx consumes daily_report.payment_breakdown, while ZReadingPrintView.jsx, ShiftCloseSummaryPrintView.jsx, and iminHardwareBridge.js format output.</w:t>
      </w:r>
    </w:p>
    <w:p>
      <w:pPr>
        <w:pStyle w:val="ListBullet"/>
      </w:pPr>
      <w:r>
        <w:rPr>
          <w:rFonts w:ascii="Aptos" w:hAnsi="Aptos"/>
          <w:b w:val="0"/>
          <w:i w:val="0"/>
          <w:sz w:val="20"/>
        </w:rPr>
        <w:t>CONFIRMED: Existing closeReportPaymentBreakdown.test.jsx verifies generic labels and the approved absence of Lifetime total display.</w:t>
      </w:r>
    </w:p>
    <w:p>
      <w:pPr>
        <w:pStyle w:val="Heading1"/>
      </w:pPr>
      <w:r>
        <w:t>Assumptions and Unknowns</w:t>
      </w:r>
    </w:p>
    <w:p>
      <w:pPr>
        <w:pStyle w:val="ListBullet"/>
      </w:pPr>
      <w:r>
        <w:rPr>
          <w:rFonts w:ascii="Aptos" w:hAnsi="Aptos"/>
          <w:b w:val="0"/>
          <w:i w:val="0"/>
          <w:sz w:val="20"/>
        </w:rPr>
        <w:t>Provider breakdown is a separate report section/field from generic Payment Breakdown, even when shown on the same page.</w:t>
      </w:r>
    </w:p>
    <w:p>
      <w:pPr>
        <w:pStyle w:val="ListBullet"/>
      </w:pPr>
      <w:r>
        <w:rPr>
          <w:rFonts w:ascii="Aptos" w:hAnsi="Aptos"/>
          <w:b w:val="0"/>
          <w:i w:val="0"/>
          <w:sz w:val="20"/>
        </w:rPr>
        <w:t>Provider amount is an allocation/classification amount; it is not added to net sales, gross sales, POS profit/loss, or tender collected totals.</w:t>
      </w:r>
    </w:p>
    <w:p>
      <w:pPr>
        <w:pStyle w:val="ListBullet"/>
      </w:pPr>
      <w:r>
        <w:rPr>
          <w:rFonts w:ascii="Aptos" w:hAnsi="Aptos"/>
          <w:b w:val="0"/>
          <w:i w:val="0"/>
          <w:sz w:val="20"/>
        </w:rPr>
        <w:t>If report consumers require filtering by provider, the API adds a provider filter additively; otherwise transaction/provider rows still appear in the existing report scope.</w:t>
      </w:r>
    </w:p>
    <w:p>
      <w:pPr>
        <w:pStyle w:val="Heading1"/>
      </w:pPr>
      <w:r>
        <w:t>Requirements Covered</w:t>
      </w:r>
    </w:p>
    <w:p>
      <w:pPr>
        <w:pStyle w:val="ListBullet"/>
      </w:pPr>
      <w:r>
        <w:rPr>
          <w:rFonts w:ascii="Aptos" w:hAnsi="Aptos"/>
          <w:b w:val="0"/>
          <w:i w:val="0"/>
          <w:sz w:val="20"/>
        </w:rPr>
        <w:t>FR-005, FR-010, FR-011; BR-006 through BR-008; DATA-006; REP-001 through REP-008; AUD-001.</w:t>
      </w:r>
    </w:p>
    <w:p>
      <w:pPr>
        <w:pStyle w:val="Heading1"/>
      </w:pPr>
      <w:r>
        <w:t>Plan Content</w:t>
      </w:r>
    </w:p>
    <w:p>
      <w:pPr>
        <w:pStyle w:val="Heading2"/>
      </w:pPr>
      <w:r>
        <w:t>Canonical report read model</w:t>
      </w:r>
    </w:p>
    <w:p>
      <w:r>
        <w:rPr>
          <w:rFonts w:ascii="Aptos" w:hAnsi="Aptos"/>
          <w:b w:val="0"/>
          <w:i w:val="0"/>
          <w:sz w:val="21"/>
        </w:rPr>
        <w:t>Add one repository-level helper that reads delivery_provider_breakdown from a transaction, normalizes legacy/null values, and returns structured provider entries. Use it from daily report rows, payment/provider summary aggregation, export generation, and Z-reading preparation. The helper must not alter getTransactionPaymentAllocations or normalize provider rows into Cash/GCash/Maya/Card/Online.</w:t>
      </w:r>
    </w:p>
    <w:p>
      <w:pPr>
        <w:pStyle w:val="Heading2"/>
      </w:pPr>
      <w:r>
        <w:t>Report API and screen behavior</w:t>
      </w:r>
    </w:p>
    <w:tbl>
      <w:tblPr>
        <w:tblW w:type="auto" w:w="0"/>
        <w:jc w:val="left"/>
        <w:tblLayout w:type="autofit"/>
        <w:tblLook w:firstColumn="1" w:firstRow="1" w:lastColumn="0" w:lastRow="0" w:noHBand="0" w:noVBand="1" w:val="04A0"/>
      </w:tblPr>
      <w:tblGrid>
        <w:gridCol w:w="3331"/>
        <w:gridCol w:w="3331"/>
        <w:gridCol w:w="3331"/>
      </w:tblGrid>
      <w:tr>
        <w:trPr>
          <w:tblHeader/>
          <w:cantSplit/>
        </w:trPr>
        <w:tc>
          <w:tcPr>
            <w:tcW w:type="dxa" w:w="3331"/>
            <w:shd w:fill="0F4167"/>
            <w:tcMar>
              <w:top w:w="100" w:type="dxa"/>
              <w:start w:w="100" w:type="dxa"/>
              <w:bottom w:w="100" w:type="dxa"/>
              <w:end w:w="100" w:type="dxa"/>
            </w:tcMar>
            <w:vAlign w:val="center"/>
          </w:tcPr>
          <w:p>
            <w:r>
              <w:rPr>
                <w:rFonts w:ascii="Aptos" w:hAnsi="Aptos"/>
                <w:b/>
                <w:i w:val="0"/>
                <w:color w:val="FFFFFF"/>
                <w:sz w:val="18"/>
              </w:rPr>
              <w:t>Surface</w:t>
            </w:r>
          </w:p>
        </w:tc>
        <w:tc>
          <w:tcPr>
            <w:tcW w:type="dxa" w:w="3331"/>
            <w:shd w:fill="0F4167"/>
            <w:tcMar>
              <w:top w:w="100" w:type="dxa"/>
              <w:start w:w="100" w:type="dxa"/>
              <w:bottom w:w="100" w:type="dxa"/>
              <w:end w:w="100" w:type="dxa"/>
            </w:tcMar>
            <w:vAlign w:val="center"/>
          </w:tcPr>
          <w:p>
            <w:r>
              <w:rPr>
                <w:rFonts w:ascii="Aptos" w:hAnsi="Aptos"/>
                <w:b/>
                <w:i w:val="0"/>
                <w:color w:val="FFFFFF"/>
                <w:sz w:val="18"/>
              </w:rPr>
              <w:t>Required output</w:t>
            </w:r>
          </w:p>
        </w:tc>
        <w:tc>
          <w:tcPr>
            <w:tcW w:type="dxa" w:w="3331"/>
            <w:shd w:fill="0F4167"/>
            <w:tcMar>
              <w:top w:w="100" w:type="dxa"/>
              <w:start w:w="100" w:type="dxa"/>
              <w:bottom w:w="100" w:type="dxa"/>
              <w:end w:w="100" w:type="dxa"/>
            </w:tcMar>
            <w:vAlign w:val="center"/>
          </w:tcPr>
          <w:p>
            <w:r>
              <w:rPr>
                <w:rFonts w:ascii="Aptos" w:hAnsi="Aptos"/>
                <w:b/>
                <w:i w:val="0"/>
                <w:color w:val="FFFFFF"/>
                <w:sz w:val="18"/>
              </w:rPr>
              <w:t>Totals rule</w:t>
            </w:r>
          </w:p>
        </w:tc>
      </w:tr>
      <w:tr>
        <w:trPr>
          <w:cantSplit/>
        </w:trPr>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Reports overview</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Add structured delivery_provider_breakdown summary when scoped records include delivery data.</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Provider sum is a classification view; existing sales/reconciliation totals unchanged.</w:t>
            </w:r>
          </w:p>
        </w:tc>
      </w:tr>
      <w:tr>
        <w:trPr>
          <w:cantSplit/>
        </w:trPr>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Reports breakdowns</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Show provider type/name and amount, optionally with delivery transaction count.</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Group by canonical type + provider name; no extra transaction count per row unless clearly labeled allocation count.</w:t>
            </w:r>
          </w:p>
        </w:tc>
      </w:tr>
      <w:tr>
        <w:trPr>
          <w:cantSplit/>
        </w:trPr>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Transactions table</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Show provider breakdown in a readable cell such as Grab PHP 180.00; Maxim (Other) PHP 90.00.</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Transaction count remains one per transaction.</w:t>
            </w:r>
          </w:p>
        </w:tc>
      </w:tr>
      <w:tr>
        <w:trPr>
          <w:cantSplit/>
        </w:trPr>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CSV export</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Add structured provider columns or a dedicated provider section while preserving existing header meanings.</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Existing columns remain compatible; provider fields are additive.</w:t>
            </w:r>
          </w:p>
        </w:tc>
      </w:tr>
      <w:tr>
        <w:trPr>
          <w:cantSplit/>
        </w:trPr>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Z-reading close</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Include provider breakdown in close response and saved snapshot details.</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Close totals and generic payment breakdown remain unchanged.</w:t>
            </w:r>
          </w:p>
        </w:tc>
      </w:tr>
      <w:tr>
        <w:trPr>
          <w:cantSplit/>
        </w:trPr>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Z-reading history/details</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Read provider breakdown from immutable snapshot, not live transactions.</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Historical output cannot change after close.</w:t>
            </w:r>
          </w:p>
        </w:tc>
      </w:tr>
      <w:tr>
        <w:trPr>
          <w:cantSplit/>
        </w:trPr>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Browser print</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Display a Delivery Provider Breakdown section with provider label, count/allocations, and amount.</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Do not reintroduce Lifetime total; preserve existing print contract.</w:t>
            </w:r>
          </w:p>
        </w:tc>
      </w:tr>
      <w:tr>
        <w:trPr>
          <w:cantSplit/>
        </w:trPr>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Shift close print</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Same provider section and labels as Z-reading.</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Same canonical response values.</w:t>
            </w:r>
          </w:p>
        </w:tc>
      </w:tr>
      <w:tr>
        <w:trPr>
          <w:cantSplit/>
        </w:trPr>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iMin/hardware text</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Print readable Foodpanda, Grab, and Other provider names/amounts.</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No raw JSON; text width and line wrapping bounded.</w:t>
            </w:r>
          </w:p>
        </w:tc>
      </w:tr>
    </w:tbl>
    <w:p/>
    <w:p>
      <w:pPr>
        <w:pStyle w:val="Heading2"/>
      </w:pPr>
      <w:r>
        <w:t>Example output</w:t>
      </w:r>
    </w:p>
    <w:tbl>
      <w:tblPr>
        <w:tblW w:type="auto" w:w="0"/>
        <w:tblLook w:firstColumn="1" w:firstRow="1" w:lastColumn="0" w:lastRow="0" w:noHBand="0" w:noVBand="1" w:val="04A0"/>
      </w:tblPr>
      <w:tblGrid>
        <w:gridCol w:w="9994"/>
      </w:tblGrid>
      <w:tr>
        <w:tc>
          <w:tcPr>
            <w:tcW w:type="dxa" w:w="9994"/>
            <w:shd w:fill="F1F5F9"/>
            <w:tcMar>
              <w:top w:w="110" w:type="dxa"/>
              <w:start w:w="130" w:type="dxa"/>
              <w:bottom w:w="110" w:type="dxa"/>
              <w:end w:w="130" w:type="dxa"/>
            </w:tcMar>
            <w:tcBorders>
              <w:top w:val="single" w:sz="4" w:color="CBD5E1"/>
              <w:left w:val="single" w:sz="4" w:color="CBD5E1"/>
              <w:bottom w:val="single" w:sz="4" w:color="CBD5E1"/>
              <w:right w:val="single" w:sz="4" w:color="CBD5E1"/>
            </w:tcBorders>
          </w:tcPr>
          <w:p>
            <w:pPr>
              <w:spacing w:after="0"/>
            </w:pPr>
            <w:r>
              <w:rPr>
                <w:rFonts w:ascii="Cascadia Mono" w:hAnsi="Cascadia Mono"/>
                <w:b w:val="0"/>
                <w:i w:val="0"/>
                <w:color w:val="1E293B"/>
                <w:sz w:val="17"/>
              </w:rPr>
              <w:t>Delivery Provider Breakdown</w:t>
              <w:br/>
              <w:t xml:space="preserve">  Grab                         PHP 180.00</w:t>
              <w:br/>
              <w:t xml:space="preserve">  Maxim (Other)                PHP  90.00</w:t>
              <w:br/>
              <w:br/>
              <w:t>Payment Breakdown</w:t>
              <w:br/>
              <w:t xml:space="preserve">  &lt;existing generic tender rows&gt;</w:t>
              <w:br/>
              <w:br/>
              <w:t>Total Sales / Net Sales / Tender totals remain calculated once per POS transaction.</w:t>
            </w:r>
          </w:p>
        </w:tc>
      </w:tr>
    </w:tbl>
    <w:p/>
    <w:p>
      <w:r>
        <w:rPr>
          <w:rFonts w:ascii="Aptos" w:hAnsi="Aptos"/>
          <w:b w:val="0"/>
          <w:i w:val="0"/>
          <w:sz w:val="21"/>
        </w:rPr>
        <w:t>The exact final typography can follow existing print components. The important contract is that provider names and amounts are structured and visible, while the provider section does not silently become another sales total.</w:t>
      </w:r>
    </w:p>
    <w:p>
      <w:pPr>
        <w:pStyle w:val="Heading2"/>
      </w:pPr>
      <w:r>
        <w:t>Z-reading immutability</w:t>
      </w:r>
    </w:p>
    <w:p>
      <w:pPr>
        <w:pStyle w:val="ListNumber"/>
      </w:pPr>
      <w:r>
        <w:rPr>
          <w:rFonts w:ascii="Aptos" w:hAnsi="Aptos"/>
          <w:b w:val="0"/>
          <w:i w:val="0"/>
          <w:sz w:val="20"/>
        </w:rPr>
        <w:t>At close-day, the repository selects recognized transaction snapshots and includes the provider breakdown in the generated Z-reading payload.</w:t>
      </w:r>
    </w:p>
    <w:p>
      <w:pPr>
        <w:pStyle w:val="ListNumber"/>
      </w:pPr>
      <w:r>
        <w:rPr>
          <w:rFonts w:ascii="Aptos" w:hAnsi="Aptos"/>
          <w:b w:val="0"/>
          <w:i w:val="0"/>
          <w:sz w:val="20"/>
        </w:rPr>
        <w:t>The saved Z-reading record stores the provider breakdown alongside existing immutable summary data.</w:t>
      </w:r>
    </w:p>
    <w:p>
      <w:pPr>
        <w:pStyle w:val="ListNumber"/>
      </w:pPr>
      <w:r>
        <w:rPr>
          <w:rFonts w:ascii="Aptos" w:hAnsi="Aptos"/>
          <w:b w:val="0"/>
          <w:i w:val="0"/>
          <w:sz w:val="20"/>
        </w:rPr>
        <w:t>History/details endpoints read the saved snapshot. They do not query current provider settings or recompute from mutable transaction rows.</w:t>
      </w:r>
    </w:p>
    <w:p>
      <w:pPr>
        <w:pStyle w:val="ListNumber"/>
      </w:pPr>
      <w:r>
        <w:rPr>
          <w:rFonts w:ascii="Aptos" w:hAnsi="Aptos"/>
          <w:b w:val="0"/>
          <w:i w:val="0"/>
          <w:sz w:val="20"/>
        </w:rPr>
        <w:t>A void after close follows the existing immutable Z-reading policy; it does not rewrite the closed provider breakdown.</w:t>
      </w:r>
    </w:p>
    <w:p>
      <w:pPr>
        <w:pStyle w:val="Heading2"/>
      </w:pPr>
      <w:r>
        <w:t>Filtering and aggregation rules</w:t>
      </w:r>
    </w:p>
    <w:p>
      <w:pPr>
        <w:pStyle w:val="ListBullet"/>
      </w:pPr>
      <w:r>
        <w:rPr>
          <w:rFonts w:ascii="Aptos" w:hAnsi="Aptos"/>
          <w:b w:val="0"/>
          <w:i w:val="0"/>
          <w:sz w:val="20"/>
        </w:rPr>
        <w:t>Only transactions recognized by the existing report/Z-reading scope contribute provider amounts.</w:t>
      </w:r>
    </w:p>
    <w:p>
      <w:pPr>
        <w:pStyle w:val="ListBullet"/>
      </w:pPr>
      <w:r>
        <w:rPr>
          <w:rFonts w:ascii="Aptos" w:hAnsi="Aptos"/>
          <w:b w:val="0"/>
          <w:i w:val="0"/>
          <w:sz w:val="20"/>
        </w:rPr>
        <w:t>Delivery provider group keys are provider_type plus normalized provider_name where Other is used; Foodpanda and Grab are canonical single groups.</w:t>
      </w:r>
    </w:p>
    <w:p>
      <w:pPr>
        <w:pStyle w:val="ListBullet"/>
      </w:pPr>
      <w:r>
        <w:rPr>
          <w:rFonts w:ascii="Aptos" w:hAnsi="Aptos"/>
          <w:b w:val="0"/>
          <w:i w:val="0"/>
          <w:sz w:val="20"/>
        </w:rPr>
        <w:t>If a transaction has multiple provider rows, the report sums allocations but counts the transaction once in sales summaries.</w:t>
      </w:r>
    </w:p>
    <w:p>
      <w:pPr>
        <w:pStyle w:val="ListBullet"/>
      </w:pPr>
      <w:r>
        <w:rPr>
          <w:rFonts w:ascii="Aptos" w:hAnsi="Aptos"/>
          <w:b w:val="0"/>
          <w:i w:val="0"/>
          <w:sz w:val="20"/>
        </w:rPr>
        <w:t>A transaction with no provider snapshot contributes zero to provider breakdown and still contributes through existing tender/report logic.</w:t>
      </w:r>
    </w:p>
    <w:p>
      <w:pPr>
        <w:pStyle w:val="ListBullet"/>
      </w:pPr>
      <w:r>
        <w:rPr>
          <w:rFonts w:ascii="Aptos" w:hAnsi="Aptos"/>
          <w:b w:val="0"/>
          <w:i w:val="0"/>
          <w:sz w:val="20"/>
        </w:rPr>
        <w:t>Provider fields must not be mapped through toDisplayPaymentGroup or the generic `other -&gt; Online` fallback.</w:t>
      </w:r>
    </w:p>
    <w:p>
      <w:pPr>
        <w:pStyle w:val="Heading2"/>
      </w:pPr>
      <w:r>
        <w:t>Printer constraints</w:t>
      </w:r>
    </w:p>
    <w:p>
      <w:pPr>
        <w:pStyle w:val="ListBullet"/>
      </w:pPr>
      <w:r>
        <w:rPr>
          <w:rFonts w:ascii="Aptos" w:hAnsi="Aptos"/>
          <w:b w:val="0"/>
          <w:i w:val="0"/>
          <w:sz w:val="20"/>
        </w:rPr>
        <w:t>Use the existing iMin/hardware bridge formatting path and printer width utilities.</w:t>
      </w:r>
    </w:p>
    <w:p>
      <w:pPr>
        <w:pStyle w:val="ListBullet"/>
      </w:pPr>
      <w:r>
        <w:rPr>
          <w:rFonts w:ascii="Aptos" w:hAnsi="Aptos"/>
          <w:b w:val="0"/>
          <w:i w:val="0"/>
          <w:sz w:val="20"/>
        </w:rPr>
        <w:t>Truncate or wrap long Other names deterministically, but preserve the persisted full name in API/history; do not silently change source data.</w:t>
      </w:r>
    </w:p>
    <w:p>
      <w:pPr>
        <w:pStyle w:val="ListBullet"/>
      </w:pPr>
      <w:r>
        <w:rPr>
          <w:rFonts w:ascii="Aptos" w:hAnsi="Aptos"/>
          <w:b w:val="0"/>
          <w:i w:val="0"/>
          <w:sz w:val="20"/>
        </w:rPr>
        <w:t>Do not print raw JSON keys, internal enum names, or duplicate provider totals.</w:t>
      </w:r>
    </w:p>
    <w:p>
      <w:pPr>
        <w:pStyle w:val="ListBullet"/>
      </w:pPr>
      <w:r>
        <w:rPr>
          <w:rFonts w:ascii="Aptos" w:hAnsi="Aptos"/>
          <w:b w:val="0"/>
          <w:i w:val="0"/>
          <w:sz w:val="20"/>
        </w:rPr>
        <w:t>Add a printer-specific regression fixture for Grab and Maxim (Other), including narrow-width output.</w:t>
      </w:r>
    </w:p>
    <w:p>
      <w:pPr>
        <w:pStyle w:val="Heading1"/>
      </w:pPr>
      <w:r>
        <w:t>Affected System Components</w:t>
      </w:r>
    </w:p>
    <w:p>
      <w:pPr>
        <w:pStyle w:val="ListBullet"/>
      </w:pPr>
      <w:r>
        <w:rPr>
          <w:rFonts w:ascii="Aptos" w:hAnsi="Aptos"/>
          <w:b w:val="0"/>
          <w:i w:val="0"/>
          <w:sz w:val="20"/>
        </w:rPr>
        <w:t>apps/dgfy-api/src/modules/pos/repositories/posRepository.js report, breakdown, export, and Z-reading builders</w:t>
      </w:r>
    </w:p>
    <w:p>
      <w:pPr>
        <w:pStyle w:val="ListBullet"/>
      </w:pPr>
      <w:r>
        <w:rPr>
          <w:rFonts w:ascii="Aptos" w:hAnsi="Aptos"/>
          <w:b w:val="0"/>
          <w:i w:val="0"/>
          <w:sz w:val="20"/>
        </w:rPr>
        <w:t>apps/dgfy-api/src/modules/pos/usecases/posUseCases.js response normalization where report payloads are shaped</w:t>
      </w:r>
    </w:p>
    <w:p>
      <w:pPr>
        <w:pStyle w:val="ListBullet"/>
      </w:pPr>
      <w:r>
        <w:rPr>
          <w:rFonts w:ascii="Aptos" w:hAnsi="Aptos"/>
          <w:b w:val="0"/>
          <w:i w:val="0"/>
          <w:sz w:val="20"/>
        </w:rPr>
        <w:t>packages/web-core/src/features/pos/components/PosReportsAnalyticsWorkspace.jsx</w:t>
      </w:r>
    </w:p>
    <w:p>
      <w:pPr>
        <w:pStyle w:val="ListBullet"/>
      </w:pPr>
      <w:r>
        <w:rPr>
          <w:rFonts w:ascii="Aptos" w:hAnsi="Aptos"/>
          <w:b w:val="0"/>
          <w:i w:val="0"/>
          <w:sz w:val="20"/>
        </w:rPr>
        <w:t>packages/web-core/src/features/pos/components/PosReportsSalesTable.jsx and payment method formatter</w:t>
      </w:r>
    </w:p>
    <w:p>
      <w:pPr>
        <w:pStyle w:val="ListBullet"/>
      </w:pPr>
      <w:r>
        <w:rPr>
          <w:rFonts w:ascii="Aptos" w:hAnsi="Aptos"/>
          <w:b w:val="0"/>
          <w:i w:val="0"/>
          <w:sz w:val="20"/>
        </w:rPr>
        <w:t>packages/web-core/src/features/pos/components/ZReadingPrintView.jsx</w:t>
      </w:r>
    </w:p>
    <w:p>
      <w:pPr>
        <w:pStyle w:val="ListBullet"/>
      </w:pPr>
      <w:r>
        <w:rPr>
          <w:rFonts w:ascii="Aptos" w:hAnsi="Aptos"/>
          <w:b w:val="0"/>
          <w:i w:val="0"/>
          <w:sz w:val="20"/>
        </w:rPr>
        <w:t>packages/web-core/src/features/pos/components/ShiftCloseSummaryPrintView.jsx</w:t>
      </w:r>
    </w:p>
    <w:p>
      <w:pPr>
        <w:pStyle w:val="ListBullet"/>
      </w:pPr>
      <w:r>
        <w:rPr>
          <w:rFonts w:ascii="Aptos" w:hAnsi="Aptos"/>
          <w:b w:val="0"/>
          <w:i w:val="0"/>
          <w:sz w:val="20"/>
        </w:rPr>
        <w:t>packages/web-core/src/features/pos/utils/iminHardwareBridge.js</w:t>
      </w:r>
    </w:p>
    <w:p>
      <w:pPr>
        <w:pStyle w:val="Heading1"/>
      </w:pPr>
      <w:r>
        <w:t>Risks</w:t>
      </w:r>
    </w:p>
    <w:p>
      <w:pPr>
        <w:pStyle w:val="ListBullet"/>
      </w:pPr>
      <w:r>
        <w:rPr>
          <w:rFonts w:ascii="Aptos" w:hAnsi="Aptos"/>
          <w:b w:val="0"/>
          <w:i w:val="0"/>
          <w:sz w:val="20"/>
        </w:rPr>
        <w:t>If provider amounts are inserted into generic payment_breakdown, reports may show them as Online or duplicate tender totals.</w:t>
      </w:r>
    </w:p>
    <w:p>
      <w:pPr>
        <w:pStyle w:val="ListBullet"/>
      </w:pPr>
      <w:r>
        <w:rPr>
          <w:rFonts w:ascii="Aptos" w:hAnsi="Aptos"/>
          <w:b w:val="0"/>
          <w:i w:val="0"/>
          <w:sz w:val="20"/>
        </w:rPr>
        <w:t>CSV additions can break downstream parsers; preserve current columns and add fields in a documented additive way.</w:t>
      </w:r>
    </w:p>
    <w:p>
      <w:pPr>
        <w:pStyle w:val="ListBullet"/>
      </w:pPr>
      <w:r>
        <w:rPr>
          <w:rFonts w:ascii="Aptos" w:hAnsi="Aptos"/>
          <w:b w:val="0"/>
          <w:i w:val="0"/>
          <w:sz w:val="20"/>
        </w:rPr>
        <w:t>Z-reading response and saved snapshot may diverge if only the live close response is extended; test both close and history/details.</w:t>
      </w:r>
    </w:p>
    <w:p>
      <w:pPr>
        <w:pStyle w:val="ListBullet"/>
      </w:pPr>
      <w:r>
        <w:rPr>
          <w:rFonts w:ascii="Aptos" w:hAnsi="Aptos"/>
          <w:b w:val="0"/>
          <w:i w:val="0"/>
          <w:sz w:val="20"/>
        </w:rPr>
        <w:t>Long Other provider names can overflow physical paper; printer formatting must be tested at actual configured width.</w:t>
      </w:r>
    </w:p>
    <w:p>
      <w:pPr>
        <w:pStyle w:val="Heading1"/>
      </w:pPr>
      <w:r>
        <w:t>Tests Required</w:t>
      </w:r>
    </w:p>
    <w:p>
      <w:pPr>
        <w:pStyle w:val="ListBullet"/>
      </w:pPr>
      <w:r>
        <w:rPr>
          <w:rFonts w:ascii="Aptos" w:hAnsi="Aptos"/>
          <w:b w:val="0"/>
          <w:i w:val="0"/>
          <w:sz w:val="20"/>
        </w:rPr>
        <w:t>Repository aggregation: one provider, multiple providers, legacy null, voided/unrecognized, cross-location scope, and no double count.</w:t>
      </w:r>
    </w:p>
    <w:p>
      <w:pPr>
        <w:pStyle w:val="ListBullet"/>
      </w:pPr>
      <w:r>
        <w:rPr>
          <w:rFonts w:ascii="Aptos" w:hAnsi="Aptos"/>
          <w:b w:val="0"/>
          <w:i w:val="0"/>
          <w:sz w:val="20"/>
        </w:rPr>
        <w:t>API contract: overview, breakdowns, export, close-day, saved history, and details contain consistent provider data.</w:t>
      </w:r>
    </w:p>
    <w:p>
      <w:pPr>
        <w:pStyle w:val="ListBullet"/>
      </w:pPr>
      <w:r>
        <w:rPr>
          <w:rFonts w:ascii="Aptos" w:hAnsi="Aptos"/>
          <w:b w:val="0"/>
          <w:i w:val="0"/>
          <w:sz w:val="20"/>
        </w:rPr>
        <w:t>Frontend: report chart/table, Z-reading print, shift close print, and iMin text show identical labels/amounts and no Lifetime total.</w:t>
      </w:r>
    </w:p>
    <w:p>
      <w:pPr>
        <w:pStyle w:val="ListBullet"/>
      </w:pPr>
      <w:r>
        <w:rPr>
          <w:rFonts w:ascii="Aptos" w:hAnsi="Aptos"/>
          <w:b w:val="0"/>
          <w:i w:val="0"/>
          <w:sz w:val="20"/>
        </w:rPr>
        <w:t>Browser/physical-output evidence: screenshot/print preview plus captured iMin text fixture.</w:t>
      </w:r>
    </w:p>
    <w:p>
      <w:pPr>
        <w:pStyle w:val="Heading1"/>
      </w:pPr>
      <w:r>
        <w:t>Acceptance Criteria</w:t>
      </w:r>
    </w:p>
    <w:p>
      <w:pPr>
        <w:pStyle w:val="ListBullet"/>
      </w:pPr>
      <w:r>
        <w:rPr>
          <w:rFonts w:ascii="Aptos" w:hAnsi="Aptos"/>
          <w:b w:val="0"/>
          <w:i w:val="0"/>
          <w:sz w:val="20"/>
        </w:rPr>
        <w:t>AC-021: Reports show Grab and Maxim (Other) amounts from the transaction snapshot without changing sales or tender totals.</w:t>
      </w:r>
    </w:p>
    <w:p>
      <w:pPr>
        <w:pStyle w:val="ListBullet"/>
      </w:pPr>
      <w:r>
        <w:rPr>
          <w:rFonts w:ascii="Aptos" w:hAnsi="Aptos"/>
          <w:b w:val="0"/>
          <w:i w:val="0"/>
          <w:sz w:val="20"/>
        </w:rPr>
        <w:t>AC-022: Z-reading close, saved history/details, browser print, shift close print, and iMin text agree on provider labels and amounts.</w:t>
      </w:r>
    </w:p>
    <w:p>
      <w:pPr>
        <w:pStyle w:val="ListBullet"/>
      </w:pPr>
      <w:r>
        <w:rPr>
          <w:rFonts w:ascii="Aptos" w:hAnsi="Aptos"/>
          <w:b w:val="0"/>
          <w:i w:val="0"/>
          <w:sz w:val="20"/>
        </w:rPr>
        <w:t>AC-023: A closed Z-reading remains unchanged after current provider settings or labels are changed.</w:t>
      </w:r>
    </w:p>
    <w:p>
      <w:pPr>
        <w:pStyle w:val="ListBullet"/>
      </w:pPr>
      <w:r>
        <w:rPr>
          <w:rFonts w:ascii="Aptos" w:hAnsi="Aptos"/>
          <w:b w:val="0"/>
          <w:i w:val="0"/>
          <w:sz w:val="20"/>
        </w:rPr>
        <w:t>AC-024: Export remains backwards-compatible and provider fields are additive/documented.</w:t>
      </w:r>
    </w:p>
    <w:p>
      <w:pPr>
        <w:pStyle w:val="Heading1"/>
      </w:pPr>
      <w:r>
        <w:t>Execution Dependencies</w:t>
      </w:r>
    </w:p>
    <w:p>
      <w:pPr>
        <w:pStyle w:val="ListBullet"/>
      </w:pPr>
      <w:r>
        <w:rPr>
          <w:rFonts w:ascii="Aptos" w:hAnsi="Aptos"/>
          <w:b w:val="0"/>
          <w:i w:val="0"/>
          <w:sz w:val="20"/>
        </w:rPr>
        <w:t>Backend provider snapshot reader and aggregation helper complete.</w:t>
      </w:r>
    </w:p>
    <w:p>
      <w:pPr>
        <w:pStyle w:val="ListBullet"/>
      </w:pPr>
      <w:r>
        <w:rPr>
          <w:rFonts w:ascii="Aptos" w:hAnsi="Aptos"/>
          <w:b w:val="0"/>
          <w:i w:val="0"/>
          <w:sz w:val="20"/>
        </w:rPr>
        <w:t>Z-reading response contract updated before print UI implementation.</w:t>
      </w:r>
    </w:p>
    <w:p>
      <w:pPr>
        <w:pStyle w:val="ListBullet"/>
      </w:pPr>
      <w:r>
        <w:rPr>
          <w:rFonts w:ascii="Aptos" w:hAnsi="Aptos"/>
          <w:b w:val="0"/>
          <w:i w:val="0"/>
          <w:sz w:val="20"/>
        </w:rPr>
        <w:t>Use existing closeReportPaymentBreakdown.test.jsx as a regression anchor.</w:t>
      </w:r>
    </w:p>
    <w:p>
      <w:pPr>
        <w:pStyle w:val="Heading1"/>
      </w:pPr>
      <w:r>
        <w:t>Cross-References</w:t>
      </w:r>
    </w:p>
    <w:p>
      <w:pPr>
        <w:pStyle w:val="ListBullet"/>
      </w:pPr>
      <w:r>
        <w:rPr>
          <w:rFonts w:ascii="Aptos" w:hAnsi="Aptos"/>
          <w:b w:val="0"/>
          <w:i w:val="0"/>
          <w:sz w:val="20"/>
        </w:rPr>
        <w:t>docs/api/specification.md</w:t>
      </w:r>
    </w:p>
    <w:p>
      <w:pPr>
        <w:pStyle w:val="ListBullet"/>
      </w:pPr>
      <w:r>
        <w:rPr>
          <w:rFonts w:ascii="Aptos" w:hAnsi="Aptos"/>
          <w:b w:val="0"/>
          <w:i w:val="0"/>
          <w:sz w:val="20"/>
        </w:rPr>
        <w:t>apps/dgfy-api/src/modules/pos/repositories/posRepository.js</w:t>
      </w:r>
    </w:p>
    <w:p>
      <w:pPr>
        <w:pStyle w:val="ListBullet"/>
      </w:pPr>
      <w:r>
        <w:rPr>
          <w:rFonts w:ascii="Aptos" w:hAnsi="Aptos"/>
          <w:b w:val="0"/>
          <w:i w:val="0"/>
          <w:sz w:val="20"/>
        </w:rPr>
        <w:t>packages/web-core/src/features/pos/components/ZReadingPrintView.jsx</w:t>
      </w:r>
    </w:p>
    <w:p>
      <w:pPr>
        <w:pStyle w:val="ListBullet"/>
      </w:pPr>
      <w:r>
        <w:rPr>
          <w:rFonts w:ascii="Aptos" w:hAnsi="Aptos"/>
          <w:b w:val="0"/>
          <w:i w:val="0"/>
          <w:sz w:val="20"/>
        </w:rPr>
        <w:t>packages/web-core/src/features/pos/components/ShiftCloseSummaryPrintView.jsx</w:t>
      </w:r>
    </w:p>
    <w:p>
      <w:pPr>
        <w:pStyle w:val="ListBullet"/>
      </w:pPr>
      <w:r>
        <w:rPr>
          <w:rFonts w:ascii="Aptos" w:hAnsi="Aptos"/>
          <w:b w:val="0"/>
          <w:i w:val="0"/>
          <w:sz w:val="20"/>
        </w:rPr>
        <w:t>packages/web-core/src/features/pos/utils/iminHardwareBridge.js</w:t>
      </w:r>
    </w:p>
    <w:p>
      <w:pPr>
        <w:pStyle w:val="ListBullet"/>
      </w:pPr>
      <w:r>
        <w:rPr>
          <w:rFonts w:ascii="Aptos" w:hAnsi="Aptos"/>
          <w:b w:val="0"/>
          <w:i w:val="0"/>
          <w:sz w:val="20"/>
        </w:rPr>
        <w:t>packages/web-core/src/features/pos/__tests__/closeReportPaymentBreakdown.test.jsx</w:t>
      </w:r>
    </w:p>
    <w:sectPr w:rsidR="00FC693F" w:rsidRPr="0006063C" w:rsidSect="00034616">
      <w:headerReference w:type="default" r:id="rId9"/>
      <w:footerReference w:type="default" r:id="rId10"/>
      <w:pgSz w:w="12240" w:h="15840"/>
      <w:pgMar w:top="936" w:right="1123" w:bottom="936"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748B"/>
        <w:sz w:val="17"/>
      </w:rPr>
      <w:t xml:space="preserve">POS Delivery Provider Payment Breakdown  •  Section 06  •  Page </w:t>
    </w:r>
    <w:r>
      <w:rPr>
        <w:rFonts w:ascii="Aptos" w:hAnsi="Aptos"/>
        <w:b w:val="0"/>
        <w:i w:val="0"/>
        <w:color w:val="64748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475569"/>
        <w:sz w:val="17"/>
      </w:rPr>
      <w:t>DGFY POS  |  PLAN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F4167"/>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A5B7E"/>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F2D4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 Delivery Provider Payment Breakdown - Section 06 - Z-Reading, Reports, Export, and Printer Plan</dc:title>
  <dc:subject>Execution-ready plan for delivery provider payment classification and reporting</dc:subject>
  <dc:creator>Codex</dc:creator>
  <cp:keywords/>
  <dc:description>Plan artifact only. No application code is changed by this document set.</dc:description>
  <cp:lastModifiedBy/>
  <cp:revision>1</cp:revision>
  <dcterms:created xsi:type="dcterms:W3CDTF">2013-12-23T23:15:00Z</dcterms:created>
  <dcterms:modified xsi:type="dcterms:W3CDTF">2013-12-23T23:15:00Z</dcterms:modified>
  <cp:category/>
</cp:coreProperties>
</file>