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05. Frontend and Navigation</w:t>
      </w:r>
    </w:p>
    <w:p>
      <w:pPr>
        <w:spacing w:after="160"/>
      </w:pPr>
      <w:r>
        <w:rPr>
          <w:i/>
          <w:color w:val="5A5A5A"/>
        </w:rPr>
        <w:t>Repository-grounded implementation plan | Planning only</w:t>
      </w:r>
    </w:p>
    <w:tbl>
      <w:tblPr>
        <w:tblW w:type="auto" w:w="0"/>
        <w:jc w:val="left"/>
        <w:tblLayout w:type="autofit"/>
        <w:tblLook w:firstColumn="1" w:firstRow="1" w:lastColumn="0" w:lastRow="0" w:noHBand="0" w:noVBand="1" w:val="04A0"/>
      </w:tblPr>
      <w:tblGrid>
        <w:gridCol w:w="5083"/>
        <w:gridCol w:w="5083"/>
      </w:tblGrid>
      <w:tr>
        <w:tc>
          <w:tcPr>
            <w:tcW w:type="dxa" w:w="5083"/>
            <w:vAlign w:val="center"/>
            <w:tcBorders>
              <w:top w:val="single" w:sz="4" w:color="D9E2F3"/>
              <w:left w:val="single" w:sz="4" w:color="D9E2F3"/>
              <w:bottom w:val="single" w:sz="4" w:color="D9E2F3"/>
              <w:right w:val="single" w:sz="4" w:color="D9E2F3"/>
            </w:tcBorders>
            <w:shd w:fill="D9EAF7"/>
          </w:tcPr>
          <w:p>
            <w:r>
              <w:rPr>
                <w:b/>
              </w:rPr>
              <w:t>Project Name</w:t>
            </w:r>
          </w:p>
        </w:tc>
        <w:tc>
          <w:tcPr>
            <w:tcW w:type="dxa" w:w="5083"/>
            <w:vAlign w:val="center"/>
            <w:tcBorders>
              <w:top w:val="single" w:sz="4" w:color="D9E2F3"/>
              <w:left w:val="single" w:sz="4" w:color="D9E2F3"/>
              <w:bottom w:val="single" w:sz="4" w:color="D9E2F3"/>
              <w:right w:val="single" w:sz="4" w:color="D9E2F3"/>
            </w:tcBorders>
          </w:tcPr>
          <w:p>
            <w:r>
              <w:t>Business Registration and Store Setup - Back Office Integration</w:t>
            </w:r>
          </w:p>
        </w:tc>
      </w:tr>
      <w:tr>
        <w:tc>
          <w:tcPr>
            <w:tcW w:type="dxa" w:w="5083"/>
            <w:vAlign w:val="center"/>
            <w:tcBorders>
              <w:top w:val="single" w:sz="4" w:color="D9E2F3"/>
              <w:left w:val="single" w:sz="4" w:color="D9E2F3"/>
              <w:bottom w:val="single" w:sz="4" w:color="D9E2F3"/>
              <w:right w:val="single" w:sz="4" w:color="D9E2F3"/>
            </w:tcBorders>
            <w:shd w:fill="D9EAF7"/>
          </w:tcPr>
          <w:p>
            <w:r>
              <w:rPr>
                <w:b/>
              </w:rPr>
              <w:t>Plan Version</w:t>
            </w:r>
          </w:p>
        </w:tc>
        <w:tc>
          <w:tcPr>
            <w:tcW w:type="dxa" w:w="5083"/>
            <w:vAlign w:val="center"/>
            <w:tcBorders>
              <w:top w:val="single" w:sz="4" w:color="D9E2F3"/>
              <w:left w:val="single" w:sz="4" w:color="D9E2F3"/>
              <w:bottom w:val="single" w:sz="4" w:color="D9E2F3"/>
              <w:right w:val="single" w:sz="4" w:color="D9E2F3"/>
            </w:tcBorders>
          </w:tcPr>
          <w:p>
            <w:r>
              <w:t>1.0</w:t>
            </w:r>
          </w:p>
        </w:tc>
      </w:tr>
      <w:tr>
        <w:tc>
          <w:tcPr>
            <w:tcW w:type="dxa" w:w="5083"/>
            <w:vAlign w:val="center"/>
            <w:tcBorders>
              <w:top w:val="single" w:sz="4" w:color="D9E2F3"/>
              <w:left w:val="single" w:sz="4" w:color="D9E2F3"/>
              <w:bottom w:val="single" w:sz="4" w:color="D9E2F3"/>
              <w:right w:val="single" w:sz="4" w:color="D9E2F3"/>
            </w:tcBorders>
            <w:shd w:fill="D9EAF7"/>
          </w:tcPr>
          <w:p>
            <w:r>
              <w:rPr>
                <w:b/>
              </w:rPr>
              <w:t>Date</w:t>
            </w:r>
          </w:p>
        </w:tc>
        <w:tc>
          <w:tcPr>
            <w:tcW w:type="dxa" w:w="5083"/>
            <w:vAlign w:val="center"/>
            <w:tcBorders>
              <w:top w:val="single" w:sz="4" w:color="D9E2F3"/>
              <w:left w:val="single" w:sz="4" w:color="D9E2F3"/>
              <w:bottom w:val="single" w:sz="4" w:color="D9E2F3"/>
              <w:right w:val="single" w:sz="4" w:color="D9E2F3"/>
            </w:tcBorders>
          </w:tcPr>
          <w:p>
            <w:r>
              <w:t>2026-10-01</w:t>
            </w:r>
          </w:p>
        </w:tc>
      </w:tr>
      <w:tr>
        <w:tc>
          <w:tcPr>
            <w:tcW w:type="dxa" w:w="5083"/>
            <w:vAlign w:val="center"/>
            <w:tcBorders>
              <w:top w:val="single" w:sz="4" w:color="D9E2F3"/>
              <w:left w:val="single" w:sz="4" w:color="D9E2F3"/>
              <w:bottom w:val="single" w:sz="4" w:color="D9E2F3"/>
              <w:right w:val="single" w:sz="4" w:color="D9E2F3"/>
            </w:tcBorders>
            <w:shd w:fill="D9EAF7"/>
          </w:tcPr>
          <w:p>
            <w:r>
              <w:rPr>
                <w:b/>
              </w:rPr>
              <w:t>Section Number / Title</w:t>
            </w:r>
          </w:p>
        </w:tc>
        <w:tc>
          <w:tcPr>
            <w:tcW w:type="dxa" w:w="5083"/>
            <w:vAlign w:val="center"/>
            <w:tcBorders>
              <w:top w:val="single" w:sz="4" w:color="D9E2F3"/>
              <w:left w:val="single" w:sz="4" w:color="D9E2F3"/>
              <w:bottom w:val="single" w:sz="4" w:color="D9E2F3"/>
              <w:right w:val="single" w:sz="4" w:color="D9E2F3"/>
            </w:tcBorders>
          </w:tcPr>
          <w:p>
            <w:r>
              <w:t>05 - Frontend and Navigation</w:t>
            </w:r>
          </w:p>
        </w:tc>
      </w:tr>
      <w:tr>
        <w:tc>
          <w:tcPr>
            <w:tcW w:type="dxa" w:w="5083"/>
            <w:vAlign w:val="center"/>
            <w:tcBorders>
              <w:top w:val="single" w:sz="4" w:color="D9E2F3"/>
              <w:left w:val="single" w:sz="4" w:color="D9E2F3"/>
              <w:bottom w:val="single" w:sz="4" w:color="D9E2F3"/>
              <w:right w:val="single" w:sz="4" w:color="D9E2F3"/>
            </w:tcBorders>
            <w:shd w:fill="D9EAF7"/>
          </w:tcPr>
          <w:p>
            <w:r>
              <w:rPr>
                <w:b/>
              </w:rPr>
              <w:t>Baseline / Branch</w:t>
            </w:r>
          </w:p>
        </w:tc>
        <w:tc>
          <w:tcPr>
            <w:tcW w:type="dxa" w:w="5083"/>
            <w:vAlign w:val="center"/>
            <w:tcBorders>
              <w:top w:val="single" w:sz="4" w:color="D9E2F3"/>
              <w:left w:val="single" w:sz="4" w:color="D9E2F3"/>
              <w:bottom w:val="single" w:sz="4" w:color="D9E2F3"/>
              <w:right w:val="single" w:sz="4" w:color="D9E2F3"/>
            </w:tcBorders>
          </w:tcPr>
          <w:p>
            <w:r>
              <w:t>StagingPOS @ 9065425cc4758d79d64e528237bc45762a1c317c</w:t>
            </w:r>
          </w:p>
        </w:tc>
      </w:tr>
      <w:tr>
        <w:tc>
          <w:tcPr>
            <w:tcW w:type="dxa" w:w="5083"/>
            <w:vAlign w:val="center"/>
            <w:tcBorders>
              <w:top w:val="single" w:sz="4" w:color="D9E2F3"/>
              <w:left w:val="single" w:sz="4" w:color="D9E2F3"/>
              <w:bottom w:val="single" w:sz="4" w:color="D9E2F3"/>
              <w:right w:val="single" w:sz="4" w:color="D9E2F3"/>
            </w:tcBorders>
            <w:shd w:fill="D9EAF7"/>
          </w:tcPr>
          <w:p>
            <w:r>
              <w:rPr>
                <w:b/>
              </w:rPr>
              <w:t>Authority</w:t>
            </w:r>
          </w:p>
        </w:tc>
        <w:tc>
          <w:tcPr>
            <w:tcW w:type="dxa" w:w="5083"/>
            <w:vAlign w:val="center"/>
            <w:tcBorders>
              <w:top w:val="single" w:sz="4" w:color="D9E2F3"/>
              <w:left w:val="single" w:sz="4" w:color="D9E2F3"/>
              <w:bottom w:val="single" w:sz="4" w:color="D9E2F3"/>
              <w:right w:val="single" w:sz="4" w:color="D9E2F3"/>
            </w:tcBorders>
          </w:tcPr>
          <w:p>
            <w:r>
              <w:t>AGENTS.md, docs/START_HERE.md, architecture boundaries/governance, accepted ADRs, current phase ledger, and repository code evidence</w:t>
            </w:r>
          </w:p>
        </w:tc>
      </w:tr>
      <w:tr>
        <w:tc>
          <w:tcPr>
            <w:tcW w:type="dxa" w:w="5083"/>
            <w:vAlign w:val="center"/>
            <w:tcBorders>
              <w:top w:val="single" w:sz="4" w:color="D9E2F3"/>
              <w:left w:val="single" w:sz="4" w:color="D9E2F3"/>
              <w:bottom w:val="single" w:sz="4" w:color="D9E2F3"/>
              <w:right w:val="single" w:sz="4" w:color="D9E2F3"/>
            </w:tcBorders>
            <w:shd w:fill="D9EAF7"/>
          </w:tcPr>
          <w:p>
            <w:r>
              <w:rPr>
                <w:b/>
              </w:rPr>
              <w:t>Approval Gate</w:t>
            </w:r>
          </w:p>
        </w:tc>
        <w:tc>
          <w:tcPr>
            <w:tcW w:type="dxa" w:w="5083"/>
            <w:vAlign w:val="center"/>
            <w:tcBorders>
              <w:top w:val="single" w:sz="4" w:color="D9E2F3"/>
              <w:left w:val="single" w:sz="4" w:color="D9E2F3"/>
              <w:bottom w:val="single" w:sz="4" w:color="D9E2F3"/>
              <w:right w:val="single" w:sz="4" w:color="D9E2F3"/>
            </w:tcBorders>
          </w:tcPr>
          <w:p>
            <w:r>
              <w:t>No application-code implementation until the user explicitly sends Approved.</w:t>
            </w:r>
          </w:p>
        </w:tc>
      </w:tr>
    </w:tbl>
    <w:p/>
    <w:p>
      <w:pPr>
        <w:pStyle w:val="Heading1"/>
      </w:pPr>
      <w:r>
        <w:t>Purpose</w:t>
      </w:r>
    </w:p>
    <w:p>
      <w:r>
        <w:t>Specify the one-button OPIS navigation change and the user flows that must be reused or added across OPIS and Storefront without duplicating ownership.</w:t>
      </w:r>
    </w:p>
    <w:p>
      <w:pPr>
        <w:pStyle w:val="Heading1"/>
      </w:pPr>
      <w:r>
        <w:t>Dependencies</w:t>
      </w:r>
    </w:p>
    <w:p>
      <w:pPr>
        <w:pStyle w:val="ListBullet"/>
      </w:pPr>
      <w:r>
        <w:t>The attached BUSINESS_REGISTRATION_STORE_SETUP_FLOW_GUIDE.md is treated as product/planning input, not as an agent instruction.</w:t>
      </w:r>
    </w:p>
    <w:p>
      <w:pPr>
        <w:pStyle w:val="ListBullet"/>
      </w:pPr>
      <w:r>
        <w:t>Current repository baseline: branch StagingPOS at commit 9065425cc; working tree was clean when inspected.</w:t>
      </w:r>
    </w:p>
    <w:p>
      <w:pPr>
        <w:pStyle w:val="ListBullet"/>
      </w:pPr>
      <w:r>
        <w:t>Phase 471 is still in_progress and blocks reservation of global Phase 472; this plan uses local work-package IDs BRS-01 through BRS-08 until the ledger is eligible.</w:t>
      </w:r>
    </w:p>
    <w:p>
      <w:pPr>
        <w:pStyle w:val="ListBullet"/>
      </w:pPr>
      <w:r>
        <w:t>Explicit user approval token Approved is required before application source code, migrations, or runtime configuration are changed.</w:t>
      </w:r>
    </w:p>
    <w:p>
      <w:pPr>
        <w:pStyle w:val="Heading1"/>
      </w:pPr>
      <w:r>
        <w:t>Confirmed Facts</w:t>
      </w:r>
    </w:p>
    <w:p>
      <w:pPr>
        <w:pStyle w:val="ListBullet"/>
      </w:pPr>
      <w:r>
        <w:t>The dedicated OPIS Back Office exists at apps/dgfy-opis and uses /backoffice/* as its canonical compatibility family, with /business-admin/* retained as an alias and / as the overview.</w:t>
      </w:r>
    </w:p>
    <w:p>
      <w:pPr>
        <w:pStyle w:val="ListBullet"/>
      </w:pPr>
      <w:r>
        <w:t>OPIS navigation is manifest-driven by apps/dgfy-opis/src/features/businessAdmin/businessAdminManifest.js and rendered by BusinessAdminPage.jsx.</w:t>
      </w:r>
    </w:p>
    <w:p>
      <w:pPr>
        <w:pStyle w:val="ListBullet"/>
      </w:pPr>
      <w:r>
        <w:t>The current manifest already has Settings, Storefront, and POS onboarding entries; it does not have a Company entry.</w:t>
      </w:r>
    </w:p>
    <w:p>
      <w:pPr>
        <w:pStyle w:val="ListBullet"/>
      </w:pPr>
      <w:r>
        <w:t>The current architecture separates OPIS Back Office from POS terminal operations; POS is not the owner of new Back Office-level work.</w:t>
      </w:r>
    </w:p>
    <w:p>
      <w:pPr>
        <w:pStyle w:val="ListBullet"/>
      </w:pPr>
      <w:r>
        <w:t>Current registration is a manual-approval flow backed by the landlord-side registration use case and application model; it is not a tenant-ready setup wizard.</w:t>
      </w:r>
    </w:p>
    <w:p>
      <w:pPr>
        <w:pStyle w:val="ListBullet"/>
      </w:pPr>
      <w:r>
        <w:t>Existing Storefront and shared web-core settings components exist for business identity, gallery, delivery partners, hours, location, and menu import, but the attached three-step registration experience is not yet implemented end to end.</w:t>
      </w:r>
    </w:p>
    <w:p>
      <w:pPr>
        <w:pStyle w:val="ListBullet"/>
      </w:pPr>
      <w:r>
        <w:t>Current menu import is tenant-scoped and asynchronous; pre-approval uploads therefore require a separate landlord-side staged-file design.</w:t>
      </w:r>
    </w:p>
    <w:p>
      <w:pPr>
        <w:pStyle w:val="Heading1"/>
      </w:pPr>
      <w:r>
        <w:t>Assumptions</w:t>
      </w:r>
    </w:p>
    <w:p>
      <w:pPr>
        <w:pStyle w:val="ListBullet"/>
      </w:pPr>
      <w:r>
        <w:t>The requested button label 'Copany' is an apparent typo; the plan recommends the user-facing label Company and treats exact spelling as an approval decision.</w:t>
      </w:r>
    </w:p>
    <w:p>
      <w:pPr>
        <w:pStyle w:val="ListBullet"/>
      </w:pPr>
      <w:r>
        <w:t>The OPIS Company workspace is post-approval and tenant-scoped; public pre-approval registration is not moved into OPIS by adding a sidebar item.</w:t>
      </w:r>
    </w:p>
    <w:p>
      <w:pPr>
        <w:pStyle w:val="ListBullet"/>
      </w:pPr>
      <w:r>
        <w:t>The existing IMS Tenant Manager remains the platform-admin review/download owner unless an explicit architecture decision changes that ownership.</w:t>
      </w:r>
    </w:p>
    <w:p>
      <w:pPr>
        <w:pStyle w:val="ListBullet"/>
      </w:pPr>
      <w:r>
        <w:t>Existing canonical settings and onboarding APIs are reused where they satisfy the contract; duplicate storage and duplicate business logic are not introduced.</w:t>
      </w:r>
    </w:p>
    <w:p>
      <w:pPr>
        <w:pStyle w:val="Heading1"/>
      </w:pPr>
      <w:r>
        <w:t>Requirements Covered</w:t>
      </w:r>
    </w:p>
    <w:p>
      <w:pPr>
        <w:pStyle w:val="ListBullet"/>
      </w:pPr>
      <w:r>
        <w:t>FR-BRS-001</w:t>
      </w:r>
    </w:p>
    <w:p>
      <w:pPr>
        <w:pStyle w:val="ListBullet"/>
      </w:pPr>
      <w:r>
        <w:t>FR-BRS-002</w:t>
      </w:r>
    </w:p>
    <w:p>
      <w:pPr>
        <w:pStyle w:val="ListBullet"/>
      </w:pPr>
      <w:r>
        <w:t>FR-BRS-003</w:t>
      </w:r>
    </w:p>
    <w:p>
      <w:pPr>
        <w:pStyle w:val="ListBullet"/>
      </w:pPr>
      <w:r>
        <w:t>FR-BRS-004</w:t>
      </w:r>
    </w:p>
    <w:p>
      <w:pPr>
        <w:pStyle w:val="ListBullet"/>
      </w:pPr>
      <w:r>
        <w:t>FR-BRS-005</w:t>
      </w:r>
    </w:p>
    <w:p>
      <w:pPr>
        <w:pStyle w:val="Heading1"/>
      </w:pPr>
      <w:r>
        <w:t>Plan Content</w:t>
      </w:r>
    </w:p>
    <w:p>
      <w:pPr>
        <w:pStyle w:val="Heading2"/>
      </w:pPr>
      <w:r>
        <w:t>OPIS Sidebar Entry</w:t>
      </w:r>
    </w:p>
    <w:p>
      <w:r>
        <w:t>Add exactly one manifest item with key company, user-facing label Company, an appropriate business/company icon, and a route target /company in the current root-level OPIS route family. Existing /backoffice/company and /business-admin/company compatibility paths should resolve through the current canonicalization mechanism. Place the item under the existing Settings group to avoid creating an unnecessary new navigation group and to keep business configuration together.</w:t>
      </w:r>
    </w:p>
    <w:p>
      <w:pPr>
        <w:pStyle w:val="Heading2"/>
      </w:pPr>
      <w:r>
        <w:t>Company Workspace Contract</w:t>
      </w:r>
    </w:p>
    <w:p>
      <w:pPr>
        <w:pStyle w:val="ListBullet"/>
      </w:pPr>
      <w:r>
        <w:t>Load only after the existing OPIS tenant/session/access bootstrap succeeds.</w:t>
      </w:r>
    </w:p>
    <w:p>
      <w:pPr>
        <w:pStyle w:val="ListBullet"/>
      </w:pPr>
      <w:r>
        <w:t>Show company identity, registration/setup status, selected branch/location readiness, business-hours readiness, storefront/media readiness, menu-upload/extraction/review status, and the next authorized action.</w:t>
      </w:r>
    </w:p>
    <w:p>
      <w:pPr>
        <w:pStyle w:val="ListBullet"/>
      </w:pPr>
      <w:r>
        <w:t>Link to or compose existing canonical settings editors for business profile, Storefront, branches/locations, hours, and delivery partners; do not reproduce their persistence logic.</w:t>
      </w:r>
    </w:p>
    <w:p>
      <w:pPr>
        <w:pStyle w:val="ListBullet"/>
      </w:pPr>
      <w:r>
        <w:t>Hide or deny the entry for users who do not have the existing Back Office/settings capability; cashiers must not gain access by seeing the label.</w:t>
      </w:r>
    </w:p>
    <w:p>
      <w:pPr>
        <w:pStyle w:val="ListBullet"/>
      </w:pPr>
      <w:r>
        <w:t>Preserve unsaved-change protection and route refresh behavior already used by BusinessAdminPage.</w:t>
      </w:r>
    </w:p>
    <w:p>
      <w:pPr>
        <w:pStyle w:val="Heading2"/>
      </w:pPr>
      <w:r>
        <w:t>Public Registration Stepper</w:t>
      </w:r>
    </w:p>
    <w:p>
      <w:r>
        <w:t>Extend the existing Storefront/DGFY registration surface rather than importing the OPIS shell. The stepper must expose exactly the three guide steps, preserve account authentication, validate each step, support safe back/next navigation, retain draft values, and end with the exact submit action requested by the guide: Submit Details and Create Company. The final screen must place both legal checkboxes last before submit.</w:t>
      </w:r>
    </w:p>
    <w:p>
      <w:pPr>
        <w:pStyle w:val="Heading2"/>
      </w:pPr>
      <w:r>
        <w:t>Admin Surface</w:t>
      </w:r>
    </w:p>
    <w:p>
      <w:r>
        <w:t>The frontend plan does not add a second admin review interface. The existing IMS Tenant Manager remains the review/download surface. If the current admin route lacks the needed application/upload view, extend that existing route and service rather than placing platform-admin actions in OPIS.</w:t>
      </w:r>
    </w:p>
    <w:p>
      <w:pPr>
        <w:pStyle w:val="Heading2"/>
      </w:pPr>
      <w:r>
        <w:t>Accessibility and Responsive Behavior</w:t>
      </w:r>
    </w:p>
    <w:p>
      <w:pPr>
        <w:pStyle w:val="ListBullet"/>
      </w:pPr>
      <w:r>
        <w:t>Use semantic headings, labelled inputs, field-level errors, keyboard-accessible step navigation, visible focus, and screen-reader status for upload/extraction progress.</w:t>
      </w:r>
    </w:p>
    <w:p>
      <w:pPr>
        <w:pStyle w:val="ListBullet"/>
      </w:pPr>
      <w:r>
        <w:t>Keep the Company entry and workspace usable at desktop, tablet, and narrow mobile widths; no horizontal-only critical action.</w:t>
      </w:r>
    </w:p>
    <w:p>
      <w:pPr>
        <w:pStyle w:val="ListBullet"/>
      </w:pPr>
      <w:r>
        <w:t>Show permission-denied, pending-review, rejected, materializing, and ready states with clear next actions.</w:t>
      </w:r>
    </w:p>
    <w:p>
      <w:pPr>
        <w:pStyle w:val="ListBullet"/>
      </w:pPr>
      <w:r>
        <w:t>Do not expose private upload previews or download controls to users without the corresponding capability.</w:t>
      </w:r>
    </w:p>
    <w:p>
      <w:pPr>
        <w:pStyle w:val="Heading1"/>
      </w:pPr>
      <w:r>
        <w:t>Affected Components</w:t>
      </w:r>
    </w:p>
    <w:p>
      <w:pPr>
        <w:pStyle w:val="ListBullet"/>
      </w:pPr>
      <w:r>
        <w:t>apps/dgfy-opis/src/features/businessAdmin/businessAdminManifest.js</w:t>
      </w:r>
    </w:p>
    <w:p>
      <w:pPr>
        <w:pStyle w:val="ListBullet"/>
      </w:pPr>
      <w:r>
        <w:t>apps/dgfy-opis/src/features/businessAdmin/BusinessAdminPage.jsx</w:t>
      </w:r>
    </w:p>
    <w:p>
      <w:pPr>
        <w:pStyle w:val="ListBullet"/>
      </w:pPr>
      <w:r>
        <w:t>apps/dgfy-opis/src/main.jsx</w:t>
      </w:r>
    </w:p>
    <w:p>
      <w:pPr>
        <w:pStyle w:val="ListBullet"/>
      </w:pPr>
      <w:r>
        <w:t>apps/dgfy-opis/src/opisRoutes.js</w:t>
      </w:r>
    </w:p>
    <w:p>
      <w:pPr>
        <w:pStyle w:val="ListBullet"/>
      </w:pPr>
      <w:r>
        <w:t>packages/web-core/src/features/pos/settings/PosSettingsWorkspace.jsx</w:t>
      </w:r>
    </w:p>
    <w:p>
      <w:pPr>
        <w:pStyle w:val="ListBullet"/>
      </w:pPr>
      <w:r>
        <w:t>StorefrontGallerySettings.jsx</w:t>
      </w:r>
    </w:p>
    <w:p>
      <w:pPr>
        <w:pStyle w:val="ListBullet"/>
      </w:pPr>
      <w:r>
        <w:t>StorefrontDeliveryPartnersSettings.jsx</w:t>
      </w:r>
    </w:p>
    <w:p>
      <w:pPr>
        <w:pStyle w:val="ListBullet"/>
      </w:pPr>
      <w:r>
        <w:t>StorefrontBusinessHoursScheduler.jsx</w:t>
      </w:r>
    </w:p>
    <w:p>
      <w:pPr>
        <w:pStyle w:val="ListBullet"/>
      </w:pPr>
      <w:r>
        <w:t>MapPinPicker.jsx</w:t>
      </w:r>
    </w:p>
    <w:p>
      <w:pPr>
        <w:pStyle w:val="ListBullet"/>
      </w:pPr>
      <w:r>
        <w:t>apps/dgfy-storefront/src/business/pages/StorefrontBusinessGrowPage.jsx</w:t>
      </w:r>
    </w:p>
    <w:p>
      <w:pPr>
        <w:pStyle w:val="ListBullet"/>
      </w:pPr>
      <w:r>
        <w:t>packages/web-core/src/Pages/RegisterCompany.jsx</w:t>
      </w:r>
    </w:p>
    <w:p>
      <w:pPr>
        <w:pStyle w:val="ListBullet"/>
      </w:pPr>
      <w:r>
        <w:t>apps/dgfy-ims/Pages/admin/TenantManager.jsx</w:t>
      </w:r>
    </w:p>
    <w:p>
      <w:pPr>
        <w:pStyle w:val="Heading1"/>
      </w:pPr>
      <w:r>
        <w:t>Risks</w:t>
      </w:r>
    </w:p>
    <w:p>
      <w:pPr>
        <w:pStyle w:val="ListBullet"/>
      </w:pPr>
      <w:r>
        <w:t>Sidebar entry links to an empty or unauthorized route</w:t>
      </w:r>
    </w:p>
    <w:p>
      <w:pPr>
        <w:pStyle w:val="ListBullet"/>
      </w:pPr>
      <w:r>
        <w:t>Copied settings UI drifts from canonical owners</w:t>
      </w:r>
    </w:p>
    <w:p>
      <w:pPr>
        <w:pStyle w:val="ListBullet"/>
      </w:pPr>
      <w:r>
        <w:t>Registration step count diverges from guide</w:t>
      </w:r>
    </w:p>
    <w:p>
      <w:pPr>
        <w:pStyle w:val="ListBullet"/>
      </w:pPr>
      <w:r>
        <w:t>Legal checkboxes are merged again</w:t>
      </w:r>
    </w:p>
    <w:p>
      <w:pPr>
        <w:pStyle w:val="ListBullet"/>
      </w:pPr>
      <w:r>
        <w:t>Mobile layout hides final submission or upload state</w:t>
      </w:r>
    </w:p>
    <w:p>
      <w:pPr>
        <w:pStyle w:val="Heading1"/>
      </w:pPr>
      <w:r>
        <w:t>Tests Required</w:t>
      </w:r>
    </w:p>
    <w:p>
      <w:pPr>
        <w:pStyle w:val="ListBullet"/>
      </w:pPr>
      <w:r>
        <w:t>Manifest and route unit tests</w:t>
      </w:r>
    </w:p>
    <w:p>
      <w:pPr>
        <w:pStyle w:val="ListBullet"/>
      </w:pPr>
      <w:r>
        <w:t>OPIS rendered navigation tests</w:t>
      </w:r>
    </w:p>
    <w:p>
      <w:pPr>
        <w:pStyle w:val="ListBullet"/>
      </w:pPr>
      <w:r>
        <w:t>Storefront stepper behavior/accessibility tests</w:t>
      </w:r>
    </w:p>
    <w:p>
      <w:pPr>
        <w:pStyle w:val="ListBullet"/>
      </w:pPr>
      <w:r>
        <w:t>Responsive viewport tests</w:t>
      </w:r>
    </w:p>
    <w:p>
      <w:pPr>
        <w:pStyle w:val="ListBullet"/>
      </w:pPr>
      <w:r>
        <w:t>IMS admin review/download tests</w:t>
      </w:r>
    </w:p>
    <w:p>
      <w:pPr>
        <w:pStyle w:val="ListBullet"/>
      </w:pPr>
      <w:r>
        <w:t>Visual screenshots for OPIS and Storefront</w:t>
      </w:r>
    </w:p>
    <w:p>
      <w:pPr>
        <w:pStyle w:val="Heading1"/>
      </w:pPr>
      <w:r>
        <w:t>Acceptance Criteria</w:t>
      </w:r>
    </w:p>
    <w:p>
      <w:pPr>
        <w:pStyle w:val="ListBullet"/>
      </w:pPr>
      <w:r>
        <w:t>One and only one Company sidebar item is present</w:t>
      </w:r>
    </w:p>
    <w:p>
      <w:pPr>
        <w:pStyle w:val="ListBullet"/>
      </w:pPr>
      <w:r>
        <w:t>Route aliases resolve consistently</w:t>
      </w:r>
    </w:p>
    <w:p>
      <w:pPr>
        <w:pStyle w:val="ListBullet"/>
      </w:pPr>
      <w:r>
        <w:t>Company page is useful after approval and permission-safe</w:t>
      </w:r>
    </w:p>
    <w:p>
      <w:pPr>
        <w:pStyle w:val="ListBullet"/>
      </w:pPr>
      <w:r>
        <w:t>Public flow is exactly three steps</w:t>
      </w:r>
    </w:p>
    <w:p>
      <w:pPr>
        <w:pStyle w:val="ListBullet"/>
      </w:pPr>
      <w:r>
        <w:t>Existing settings owners remain canonical</w:t>
      </w:r>
    </w:p>
    <w:p>
      <w:pPr>
        <w:pStyle w:val="Heading1"/>
      </w:pPr>
      <w:r>
        <w:t>Execution Dependencies</w:t>
      </w:r>
    </w:p>
    <w:p>
      <w:pPr>
        <w:pStyle w:val="ListBullet"/>
      </w:pPr>
      <w:r>
        <w:t>Confirm final label</w:t>
      </w:r>
    </w:p>
    <w:p>
      <w:pPr>
        <w:pStyle w:val="ListBullet"/>
      </w:pPr>
      <w:r>
        <w:t>Confirm whether Company is visible to all Back Office users or only tenant master/admin roles</w:t>
      </w:r>
    </w:p>
    <w:p>
      <w:pPr>
        <w:pStyle w:val="ListBullet"/>
      </w:pPr>
      <w:r>
        <w:t>Confirm target design for Company workspace status cards and actions</w:t>
      </w:r>
    </w:p>
    <w:p>
      <w:pPr>
        <w:pStyle w:val="ListBullet"/>
      </w:pPr>
      <w:r>
        <w:t>Approved token</w:t>
      </w:r>
    </w:p>
    <w:p>
      <w:pPr>
        <w:pStyle w:val="Heading1"/>
      </w:pPr>
      <w:r>
        <w:t>Cross-References</w:t>
      </w:r>
    </w:p>
    <w:p>
      <w:pPr>
        <w:pStyle w:val="ListBullet"/>
      </w:pPr>
      <w:r>
        <w:t>AGENTS.md (repository boundaries, approval gate, continuous phase numbering, and planning lookup order).</w:t>
      </w:r>
    </w:p>
    <w:p>
      <w:pPr>
        <w:pStyle w:val="ListBullet"/>
      </w:pPr>
      <w:r>
        <w:t>docs/START_HERE.md; docs/architecture/ARCHITECTURE_BOUNDARIES.md; docs/architecture/ARCHITECTURE_GOVERNANCE.md.</w:t>
      </w:r>
    </w:p>
    <w:p>
      <w:pPr>
        <w:pStyle w:val="ListBullet"/>
      </w:pPr>
      <w:r>
        <w:t>docs/architecture/adr/0013-tenant-first-login-onboarding-and-storefront-readiness-contract.md.</w:t>
      </w:r>
    </w:p>
    <w:p>
      <w:pPr>
        <w:pStyle w:val="ListBullet"/>
      </w:pPr>
      <w:r>
        <w:t>docs/architecture/adr/0022-global-dgfy-account-business-registration.md.</w:t>
      </w:r>
    </w:p>
    <w:p>
      <w:pPr>
        <w:pStyle w:val="ListBullet"/>
      </w:pPr>
      <w:r>
        <w:t>docs/architecture/adr/0029-catalog-inventory-pos-storefront-ownership-boundaries.md.</w:t>
      </w:r>
    </w:p>
    <w:p>
      <w:pPr>
        <w:pStyle w:val="ListBullet"/>
      </w:pPr>
      <w:r>
        <w:t>docs/architecture/adr/0049-batch-menu-import-async-extraction.md.</w:t>
      </w:r>
    </w:p>
    <w:p>
      <w:pPr>
        <w:pStyle w:val="ListBullet"/>
      </w:pPr>
      <w:r>
        <w:t>docs/architecture/adr/0087-dedicated-back-office-fourth-frontend-app-opis.md and proposed 0088 POS/OPIS boundary.</w:t>
      </w:r>
    </w:p>
    <w:p>
      <w:pPr>
        <w:pStyle w:val="ListBullet"/>
      </w:pPr>
      <w:r>
        <w:t>docs/features/backoffice.md and docs/features/IMPLEMENTATION_PHASE_LEDGER.md.</w:t>
      </w:r>
    </w:p>
    <w:p>
      <w:pPr>
        <w:pStyle w:val="ListBullet"/>
      </w:pPr>
      <w:r>
        <w:t>Attached BUSINESS_REGISTRATION_STORE_SETUP_FLOW_GUIDE.md.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Business Registration and Store Setup - Back Office Integration | Plan v1.0 | 2026-10-01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