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06. Security, Audit, and Operations</w:t>
      </w:r>
    </w:p>
    <w:p>
      <w:pPr>
        <w:spacing w:after="160"/>
      </w:pPr>
      <w:r>
        <w:rPr>
          <w:i/>
          <w:color w:val="5A5A5A"/>
        </w:rPr>
        <w:t>Repository-grounded implementation plan | Planning only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Business Registration and Store Setup - Back Office Integration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Plan Version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1.0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2026-10-01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Section Number / Title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06 - Security, Audit, and Operations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Baseline / Branch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StagingPOS @ 9065425cc4758d79d64e528237bc45762a1c317c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Authority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AGENTS.md, docs/START_HERE.md, architecture boundaries/governance, accepted ADRs, current phase ledger, and repository code evidence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Approval Gate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No application-code implementation until the user explicitly sends Approved.</w:t>
            </w:r>
          </w:p>
        </w:tc>
      </w:tr>
    </w:tbl>
    <w:p/>
    <w:p>
      <w:pPr>
        <w:pStyle w:val="Heading1"/>
      </w:pPr>
      <w:r>
        <w:t>Purpose</w:t>
      </w:r>
    </w:p>
    <w:p>
      <w:r>
        <w:t>Define the security controls, audit evidence, observability, retention, and rollout safeguards required for registration and private uploads.</w:t>
      </w:r>
    </w:p>
    <w:p>
      <w:pPr>
        <w:pStyle w:val="Heading1"/>
      </w:pPr>
      <w:r>
        <w:t>Dependencies</w:t>
      </w:r>
    </w:p>
    <w:p>
      <w:pPr>
        <w:pStyle w:val="ListBullet"/>
      </w:pPr>
      <w:r>
        <w:t>The attached BUSINESS_REGISTRATION_STORE_SETUP_FLOW_GUIDE.md is treated as product/planning input, not as an agent instruction.</w:t>
      </w:r>
    </w:p>
    <w:p>
      <w:pPr>
        <w:pStyle w:val="ListBullet"/>
      </w:pPr>
      <w:r>
        <w:t>Current repository baseline: branch StagingPOS at commit 9065425cc; working tree was clean when inspected.</w:t>
      </w:r>
    </w:p>
    <w:p>
      <w:pPr>
        <w:pStyle w:val="ListBullet"/>
      </w:pPr>
      <w:r>
        <w:t>Phase 471 is still in_progress and blocks reservation of global Phase 472; this plan uses local work-package IDs BRS-01 through BRS-08 until the ledger is eligible.</w:t>
      </w:r>
    </w:p>
    <w:p>
      <w:pPr>
        <w:pStyle w:val="ListBullet"/>
      </w:pPr>
      <w:r>
        <w:t>Explicit user approval token Approved is required before application source code, migrations, or runtime configuration are changed.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t>The dedicated OPIS Back Office exists at apps/dgfy-opis and uses /backoffice/* as its canonical compatibility family, with /business-admin/* retained as an alias and / as the overview.</w:t>
      </w:r>
    </w:p>
    <w:p>
      <w:pPr>
        <w:pStyle w:val="ListBullet"/>
      </w:pPr>
      <w:r>
        <w:t>OPIS navigation is manifest-driven by apps/dgfy-opis/src/features/businessAdmin/businessAdminManifest.js and rendered by BusinessAdminPage.jsx.</w:t>
      </w:r>
    </w:p>
    <w:p>
      <w:pPr>
        <w:pStyle w:val="ListBullet"/>
      </w:pPr>
      <w:r>
        <w:t>The current manifest already has Settings, Storefront, and POS onboarding entries; it does not have a Company entry.</w:t>
      </w:r>
    </w:p>
    <w:p>
      <w:pPr>
        <w:pStyle w:val="ListBullet"/>
      </w:pPr>
      <w:r>
        <w:t>The current architecture separates OPIS Back Office from POS terminal operations; POS is not the owner of new Back Office-level work.</w:t>
      </w:r>
    </w:p>
    <w:p>
      <w:pPr>
        <w:pStyle w:val="ListBullet"/>
      </w:pPr>
      <w:r>
        <w:t>Current registration is a manual-approval flow backed by the landlord-side registration use case and application model; it is not a tenant-ready setup wizard.</w:t>
      </w:r>
    </w:p>
    <w:p>
      <w:pPr>
        <w:pStyle w:val="ListBullet"/>
      </w:pPr>
      <w:r>
        <w:t>Existing Storefront and shared web-core settings components exist for business identity, gallery, delivery partners, hours, location, and menu import, but the attached three-step registration experience is not yet implemented end to end.</w:t>
      </w:r>
    </w:p>
    <w:p>
      <w:pPr>
        <w:pStyle w:val="ListBullet"/>
      </w:pPr>
      <w:r>
        <w:t>Current menu import is tenant-scoped and asynchronous; pre-approval uploads therefore require a separate landlord-side staged-file design.</w:t>
      </w:r>
    </w:p>
    <w:p>
      <w:pPr>
        <w:pStyle w:val="Heading1"/>
      </w:pPr>
      <w:r>
        <w:t>Assumptions</w:t>
      </w:r>
    </w:p>
    <w:p>
      <w:pPr>
        <w:pStyle w:val="ListBullet"/>
      </w:pPr>
      <w:r>
        <w:t>The requested button label 'Copany' is an apparent typo; the plan recommends the user-facing label Company and treats exact spelling as an approval decision.</w:t>
      </w:r>
    </w:p>
    <w:p>
      <w:pPr>
        <w:pStyle w:val="ListBullet"/>
      </w:pPr>
      <w:r>
        <w:t>The OPIS Company workspace is post-approval and tenant-scoped; public pre-approval registration is not moved into OPIS by adding a sidebar item.</w:t>
      </w:r>
    </w:p>
    <w:p>
      <w:pPr>
        <w:pStyle w:val="ListBullet"/>
      </w:pPr>
      <w:r>
        <w:t>The existing IMS Tenant Manager remains the platform-admin review/download owner unless an explicit architecture decision changes that ownership.</w:t>
      </w:r>
    </w:p>
    <w:p>
      <w:pPr>
        <w:pStyle w:val="ListBullet"/>
      </w:pPr>
      <w:r>
        <w:t>Existing canonical settings and onboarding APIs are reused where they satisfy the contract; duplicate storage and duplicate business logic are not introduced.</w:t>
      </w:r>
    </w:p>
    <w:p>
      <w:pPr>
        <w:pStyle w:val="Heading1"/>
      </w:pPr>
      <w:r>
        <w:t>Requirements Covered</w:t>
      </w:r>
    </w:p>
    <w:p>
      <w:pPr>
        <w:pStyle w:val="ListBullet"/>
      </w:pPr>
      <w:r>
        <w:t>FR-BRS-006</w:t>
      </w:r>
    </w:p>
    <w:p>
      <w:pPr>
        <w:pStyle w:val="ListBullet"/>
      </w:pPr>
      <w:r>
        <w:t>FR-BRS-007</w:t>
      </w:r>
    </w:p>
    <w:p>
      <w:pPr>
        <w:pStyle w:val="ListBullet"/>
      </w:pPr>
      <w:r>
        <w:t>FR-BRS-008</w:t>
      </w:r>
    </w:p>
    <w:p>
      <w:pPr>
        <w:pStyle w:val="ListBullet"/>
      </w:pPr>
      <w:r>
        <w:t>FR-BRS-009</w:t>
      </w:r>
    </w:p>
    <w:p>
      <w:pPr>
        <w:pStyle w:val="ListBullet"/>
      </w:pPr>
      <w:r>
        <w:t>FR-BRS-010</w:t>
      </w:r>
    </w:p>
    <w:p>
      <w:pPr>
        <w:pStyle w:val="Heading1"/>
      </w:pPr>
      <w:r>
        <w:t>Plan Content</w:t>
      </w:r>
    </w:p>
    <w:p>
      <w:pPr>
        <w:pStyle w:val="Heading2"/>
      </w:pPr>
      <w:r>
        <w:t>Authorization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4608"/>
            <w:shd w:fill="1F4E78"/>
          </w:tcPr>
          <w:p>
            <w:r>
              <w:rPr>
                <w:b/>
                <w:color w:val="FFFFFF"/>
              </w:rPr>
              <w:t>May do</w:t>
            </w:r>
          </w:p>
        </w:tc>
        <w:tc>
          <w:tcPr>
            <w:tcW w:type="dxa" w:w="3600"/>
            <w:shd w:fill="1F4E78"/>
          </w:tcPr>
          <w:p>
            <w:r>
              <w:rPr>
                <w:b/>
                <w:color w:val="FFFFFF"/>
              </w:rPr>
              <w:t>Must not do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Applicant / DGFY account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t>Create own draft, submit own application, upload own files, view own status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t>View another application, access tenant tables before approval, approve own application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Platform admin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t>Review pending applications, inspect/download authorized originals, approve/reject with reason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t>Bypass audit, expose public file URLs, change legal evidence silently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Tenant master/admin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t>View approved Company readiness and complete authorized tenant setup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t>Review another tenant's pending landlord files, approve platform registration, publish unreviewed menu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Cashier / terminal user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t>Use POS operational capabilities already granted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t>See or use Company setup/admin actions without server authorization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Worker/service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t>Perform bounded extraction/materialization with scoped service identity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t>Directly broaden tenant scope or publish catalog without confirmation</w:t>
            </w:r>
          </w:p>
        </w:tc>
      </w:tr>
    </w:tbl>
    <w:p/>
    <w:p>
      <w:pPr>
        <w:pStyle w:val="Heading2"/>
      </w:pPr>
      <w:r>
        <w:t>File and Storage Controls</w:t>
      </w:r>
    </w:p>
    <w:p>
      <w:pPr>
        <w:pStyle w:val="ListBullet"/>
      </w:pPr>
      <w:r>
        <w:t>Allow only approved extensions and MIME/signature combinations; enforce per-file and per-application limits.</w:t>
      </w:r>
    </w:p>
    <w:p>
      <w:pPr>
        <w:pStyle w:val="ListBullet"/>
      </w:pPr>
      <w:r>
        <w:t>Store files privately under opaque application-scoped object keys; never derive paths directly from user filenames.</w:t>
      </w:r>
    </w:p>
    <w:p>
      <w:pPr>
        <w:pStyle w:val="ListBullet"/>
      </w:pPr>
      <w:r>
        <w:t>Normalize filenames for display only; reject traversal, control characters, suspicious archive behavior, and unsupported content.</w:t>
      </w:r>
    </w:p>
    <w:p>
      <w:pPr>
        <w:pStyle w:val="ListBullet"/>
      </w:pPr>
      <w:r>
        <w:t>Hash originals and retain upload metadata so replacement and download evidence can be verified.</w:t>
      </w:r>
    </w:p>
    <w:p>
      <w:pPr>
        <w:pStyle w:val="ListBullet"/>
      </w:pPr>
      <w:r>
        <w:t>Use short-lived authorized download responses or a server stream; do not expose provider credentials or permanent public URLs.</w:t>
      </w:r>
    </w:p>
    <w:p>
      <w:pPr>
        <w:pStyle w:val="ListBullet"/>
      </w:pPr>
      <w:r>
        <w:t>Define retention and deletion/revocation semantics for abandoned, rejected, approved, and materialized applications.</w:t>
      </w:r>
    </w:p>
    <w:p>
      <w:pPr>
        <w:pStyle w:val="Heading2"/>
      </w:pPr>
      <w:r>
        <w:t>Audit and Observability</w:t>
      </w:r>
    </w:p>
    <w:p>
      <w:r>
        <w:t>Every state-changing operation records actor/account, application, tenant when applicable, action, timestamp, request/correlation ID, result, and reason. Operational metrics should include submission failures, upload rejection rate, extraction latency/failure, admin download events, approval-to-materialization latency, materialization retries, and orphaned staged files. Logs must exclude legal secrets, raw file contents, private storage keys, and unnecessary personal data.</w:t>
      </w:r>
    </w:p>
    <w:p>
      <w:pPr>
        <w:pStyle w:val="Heading2"/>
      </w:pPr>
      <w:r>
        <w:t>Rollout and Rollback</w:t>
      </w:r>
    </w:p>
    <w:p>
      <w:r>
        <w:t>Ship the OPIS navigation entry only with a functional read-only or status-safe Company workspace. Gate any new staged-upload or materialization behavior behind server-authorized capability/configuration if the repository's existing rollout conventions support it. Rollback must hide/disable the new Company route and stop new staging/materialization attempts without deleting submitted evidence or corrupting already-materialized tenant settings.</w:t>
      </w:r>
    </w:p>
    <w:p>
      <w:pPr>
        <w:pStyle w:val="Heading1"/>
      </w:pPr>
      <w:r>
        <w:t>Affected Components</w:t>
      </w:r>
    </w:p>
    <w:p>
      <w:pPr>
        <w:pStyle w:val="ListBullet"/>
      </w:pPr>
      <w:r>
        <w:t>Authentication and session middleware</w:t>
      </w:r>
    </w:p>
    <w:p>
      <w:pPr>
        <w:pStyle w:val="ListBullet"/>
      </w:pPr>
      <w:r>
        <w:t>Business-admin capabilities</w:t>
      </w:r>
    </w:p>
    <w:p>
      <w:pPr>
        <w:pStyle w:val="ListBullet"/>
      </w:pPr>
      <w:r>
        <w:t>Landlord storage adapter</w:t>
      </w:r>
    </w:p>
    <w:p>
      <w:pPr>
        <w:pStyle w:val="ListBullet"/>
      </w:pPr>
      <w:r>
        <w:t>Audit/event logging</w:t>
      </w:r>
    </w:p>
    <w:p>
      <w:pPr>
        <w:pStyle w:val="ListBullet"/>
      </w:pPr>
      <w:r>
        <w:t>Admin route authorization</w:t>
      </w:r>
    </w:p>
    <w:p>
      <w:pPr>
        <w:pStyle w:val="ListBullet"/>
      </w:pPr>
      <w:r>
        <w:t>Migration runner and retention job</w:t>
      </w:r>
    </w:p>
    <w:p>
      <w:pPr>
        <w:pStyle w:val="Heading1"/>
      </w:pPr>
      <w:r>
        <w:t>Risks</w:t>
      </w:r>
    </w:p>
    <w:p>
      <w:pPr>
        <w:pStyle w:val="ListBullet"/>
      </w:pPr>
      <w:r>
        <w:t>Broken object-level authorization</w:t>
      </w:r>
    </w:p>
    <w:p>
      <w:pPr>
        <w:pStyle w:val="ListBullet"/>
      </w:pPr>
      <w:r>
        <w:t>Private upload leak</w:t>
      </w:r>
    </w:p>
    <w:p>
      <w:pPr>
        <w:pStyle w:val="ListBullet"/>
      </w:pPr>
      <w:r>
        <w:t>Malware or parser abuse</w:t>
      </w:r>
    </w:p>
    <w:p>
      <w:pPr>
        <w:pStyle w:val="ListBullet"/>
      </w:pPr>
      <w:r>
        <w:t>Audit records omit actor/version</w:t>
      </w:r>
    </w:p>
    <w:p>
      <w:pPr>
        <w:pStyle w:val="ListBullet"/>
      </w:pPr>
      <w:r>
        <w:t>Rollback deletes evidence or leaves an active partial materialization</w:t>
      </w:r>
    </w:p>
    <w:p>
      <w:pPr>
        <w:pStyle w:val="Heading1"/>
      </w:pPr>
      <w:r>
        <w:t>Tests Required</w:t>
      </w:r>
    </w:p>
    <w:p>
      <w:pPr>
        <w:pStyle w:val="ListBullet"/>
      </w:pPr>
      <w:r>
        <w:t>Authorization matrix tests</w:t>
      </w:r>
    </w:p>
    <w:p>
      <w:pPr>
        <w:pStyle w:val="ListBullet"/>
      </w:pPr>
      <w:r>
        <w:t>File security tests</w:t>
      </w:r>
    </w:p>
    <w:p>
      <w:pPr>
        <w:pStyle w:val="ListBullet"/>
      </w:pPr>
      <w:r>
        <w:t>Audit event contract tests</w:t>
      </w:r>
    </w:p>
    <w:p>
      <w:pPr>
        <w:pStyle w:val="ListBullet"/>
      </w:pPr>
      <w:r>
        <w:t>Log-redaction checks</w:t>
      </w:r>
    </w:p>
    <w:p>
      <w:pPr>
        <w:pStyle w:val="ListBullet"/>
      </w:pPr>
      <w:r>
        <w:t>Rate-limit and abuse tests</w:t>
      </w:r>
    </w:p>
    <w:p>
      <w:pPr>
        <w:pStyle w:val="ListBullet"/>
      </w:pPr>
      <w:r>
        <w:t>Rollback/feature-disable rehearsal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Every actor is denied outside their scope</w:t>
      </w:r>
    </w:p>
    <w:p>
      <w:pPr>
        <w:pStyle w:val="ListBullet"/>
      </w:pPr>
      <w:r>
        <w:t>Original uploads remain private and downloadable only with authorization</w:t>
      </w:r>
    </w:p>
    <w:p>
      <w:pPr>
        <w:pStyle w:val="ListBullet"/>
      </w:pPr>
      <w:r>
        <w:t>Audit records are complete and redacted</w:t>
      </w:r>
    </w:p>
    <w:p>
      <w:pPr>
        <w:pStyle w:val="ListBullet"/>
      </w:pPr>
      <w:r>
        <w:t>Rollback is non-destructive</w:t>
      </w:r>
    </w:p>
    <w:p>
      <w:pPr>
        <w:pStyle w:val="ListBullet"/>
      </w:pPr>
      <w:r>
        <w:t>Operational alerts identify stalled materialization</w:t>
      </w:r>
    </w:p>
    <w:p>
      <w:pPr>
        <w:pStyle w:val="Heading1"/>
      </w:pPr>
      <w:r>
        <w:t>Execution Dependencies</w:t>
      </w:r>
    </w:p>
    <w:p>
      <w:pPr>
        <w:pStyle w:val="ListBullet"/>
      </w:pPr>
      <w:r>
        <w:t>Storage provider/security review</w:t>
      </w:r>
    </w:p>
    <w:p>
      <w:pPr>
        <w:pStyle w:val="ListBullet"/>
      </w:pPr>
      <w:r>
        <w:t>Retention/legal decision</w:t>
      </w:r>
    </w:p>
    <w:p>
      <w:pPr>
        <w:pStyle w:val="ListBullet"/>
      </w:pPr>
      <w:r>
        <w:t>Existing capability naming and middleware</w:t>
      </w:r>
    </w:p>
    <w:p>
      <w:pPr>
        <w:pStyle w:val="ListBullet"/>
      </w:pPr>
      <w:r>
        <w:t>Threat-model review before upload launch</w:t>
      </w:r>
    </w:p>
    <w:p>
      <w:pPr>
        <w:pStyle w:val="ListBullet"/>
      </w:pPr>
      <w:r>
        <w:t>Approved token</w:t>
      </w:r>
    </w:p>
    <w:p>
      <w:pPr>
        <w:pStyle w:val="Heading1"/>
      </w:pPr>
      <w:r>
        <w:t>Cross-References</w:t>
      </w:r>
    </w:p>
    <w:p>
      <w:pPr>
        <w:pStyle w:val="ListBullet"/>
      </w:pPr>
      <w:r>
        <w:t>AGENTS.md (repository boundaries, approval gate, continuous phase numbering, and planning lookup order).</w:t>
      </w:r>
    </w:p>
    <w:p>
      <w:pPr>
        <w:pStyle w:val="ListBullet"/>
      </w:pPr>
      <w:r>
        <w:t>docs/START_HERE.md; docs/architecture/ARCHITECTURE_BOUNDARIES.md; docs/architecture/ARCHITECTURE_GOVERNANCE.md.</w:t>
      </w:r>
    </w:p>
    <w:p>
      <w:pPr>
        <w:pStyle w:val="ListBullet"/>
      </w:pPr>
      <w:r>
        <w:t>docs/architecture/adr/0013-tenant-first-login-onboarding-and-storefront-readiness-contract.md.</w:t>
      </w:r>
    </w:p>
    <w:p>
      <w:pPr>
        <w:pStyle w:val="ListBullet"/>
      </w:pPr>
      <w:r>
        <w:t>docs/architecture/adr/0022-global-dgfy-account-business-registration.md.</w:t>
      </w:r>
    </w:p>
    <w:p>
      <w:pPr>
        <w:pStyle w:val="ListBullet"/>
      </w:pPr>
      <w:r>
        <w:t>docs/architecture/adr/0029-catalog-inventory-pos-storefront-ownership-boundaries.md.</w:t>
      </w:r>
    </w:p>
    <w:p>
      <w:pPr>
        <w:pStyle w:val="ListBullet"/>
      </w:pPr>
      <w:r>
        <w:t>docs/architecture/adr/0049-batch-menu-import-async-extraction.md.</w:t>
      </w:r>
    </w:p>
    <w:p>
      <w:pPr>
        <w:pStyle w:val="ListBullet"/>
      </w:pPr>
      <w:r>
        <w:t>docs/architecture/adr/0087-dedicated-back-office-fourth-frontend-app-opis.md and proposed 0088 POS/OPIS boundary.</w:t>
      </w:r>
    </w:p>
    <w:p>
      <w:pPr>
        <w:pStyle w:val="ListBullet"/>
      </w:pPr>
      <w:r>
        <w:t>docs/features/backoffice.md and docs/features/IMPLEMENTATION_PHASE_LEDGER.md.</w:t>
      </w:r>
    </w:p>
    <w:p>
      <w:pPr>
        <w:pStyle w:val="ListBullet"/>
      </w:pPr>
      <w:r>
        <w:t>Attached BUSINESS_REGISTRATION_STORE_SETUP_FLOW_GUIDE.md.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Business Registration and Store Setup - Back Office Integration | Plan v1.0 | 2026-10-01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