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07. Implementation Phases and Delivery Gates</w:t>
      </w:r>
    </w:p>
    <w:p>
      <w:pPr>
        <w:spacing w:after="160"/>
      </w:pPr>
      <w:r>
        <w:rPr>
          <w:i/>
          <w:color w:val="5A5A5A"/>
        </w:rPr>
        <w:t>Repository-grounded implementation plan | Planning only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D9EAF7"/>
          </w:tcPr>
          <w:p>
            <w:r>
              <w:rPr>
                <w:b/>
              </w:rPr>
              <w:t>Project Name</w:t>
            </w:r>
          </w:p>
        </w:tc>
        <w:tc>
          <w:tcPr>
            <w:tcW w:type="dxa" w:w="5083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t>Business Registration and Store Setup - Back Office Integration</w:t>
            </w:r>
          </w:p>
        </w:tc>
      </w:tr>
      <w:tr>
        <w:tc>
          <w:tcPr>
            <w:tcW w:type="dxa" w:w="5083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D9EAF7"/>
          </w:tcPr>
          <w:p>
            <w:r>
              <w:rPr>
                <w:b/>
              </w:rPr>
              <w:t>Plan Version</w:t>
            </w:r>
          </w:p>
        </w:tc>
        <w:tc>
          <w:tcPr>
            <w:tcW w:type="dxa" w:w="5083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t>1.0</w:t>
            </w:r>
          </w:p>
        </w:tc>
      </w:tr>
      <w:tr>
        <w:tc>
          <w:tcPr>
            <w:tcW w:type="dxa" w:w="5083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D9EAF7"/>
          </w:tcPr>
          <w:p>
            <w:r>
              <w:rPr>
                <w:b/>
              </w:rPr>
              <w:t>Date</w:t>
            </w:r>
          </w:p>
        </w:tc>
        <w:tc>
          <w:tcPr>
            <w:tcW w:type="dxa" w:w="5083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t>2026-10-01</w:t>
            </w:r>
          </w:p>
        </w:tc>
      </w:tr>
      <w:tr>
        <w:tc>
          <w:tcPr>
            <w:tcW w:type="dxa" w:w="5083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D9EAF7"/>
          </w:tcPr>
          <w:p>
            <w:r>
              <w:rPr>
                <w:b/>
              </w:rPr>
              <w:t>Section Number / Title</w:t>
            </w:r>
          </w:p>
        </w:tc>
        <w:tc>
          <w:tcPr>
            <w:tcW w:type="dxa" w:w="5083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t>07 - Implementation Phases and Delivery Gates</w:t>
            </w:r>
          </w:p>
        </w:tc>
      </w:tr>
      <w:tr>
        <w:tc>
          <w:tcPr>
            <w:tcW w:type="dxa" w:w="5083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D9EAF7"/>
          </w:tcPr>
          <w:p>
            <w:r>
              <w:rPr>
                <w:b/>
              </w:rPr>
              <w:t>Baseline / Branch</w:t>
            </w:r>
          </w:p>
        </w:tc>
        <w:tc>
          <w:tcPr>
            <w:tcW w:type="dxa" w:w="5083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t>StagingPOS @ 9065425cc4758d79d64e528237bc45762a1c317c</w:t>
            </w:r>
          </w:p>
        </w:tc>
      </w:tr>
      <w:tr>
        <w:tc>
          <w:tcPr>
            <w:tcW w:type="dxa" w:w="5083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D9EAF7"/>
          </w:tcPr>
          <w:p>
            <w:r>
              <w:rPr>
                <w:b/>
              </w:rPr>
              <w:t>Authority</w:t>
            </w:r>
          </w:p>
        </w:tc>
        <w:tc>
          <w:tcPr>
            <w:tcW w:type="dxa" w:w="5083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t>AGENTS.md, docs/START_HERE.md, architecture boundaries/governance, accepted ADRs, current phase ledger, and repository code evidence</w:t>
            </w:r>
          </w:p>
        </w:tc>
      </w:tr>
      <w:tr>
        <w:tc>
          <w:tcPr>
            <w:tcW w:type="dxa" w:w="5083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D9EAF7"/>
          </w:tcPr>
          <w:p>
            <w:r>
              <w:rPr>
                <w:b/>
              </w:rPr>
              <w:t>Approval Gate</w:t>
            </w:r>
          </w:p>
        </w:tc>
        <w:tc>
          <w:tcPr>
            <w:tcW w:type="dxa" w:w="5083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t>No application-code implementation until the user explicitly sends Approved.</w:t>
            </w:r>
          </w:p>
        </w:tc>
      </w:tr>
    </w:tbl>
    <w:p/>
    <w:p>
      <w:pPr>
        <w:pStyle w:val="Heading1"/>
      </w:pPr>
      <w:r>
        <w:t>Purpose</w:t>
      </w:r>
    </w:p>
    <w:p>
      <w:r>
        <w:t>Turn the architecture and requirements into an ordered, evidence-driven build sequence without misusing the repository's continuous global phase ledger.</w:t>
      </w:r>
    </w:p>
    <w:p>
      <w:pPr>
        <w:pStyle w:val="Heading1"/>
      </w:pPr>
      <w:r>
        <w:t>Dependencies</w:t>
      </w:r>
    </w:p>
    <w:p>
      <w:pPr>
        <w:pStyle w:val="ListBullet"/>
      </w:pPr>
      <w:r>
        <w:t>The attached BUSINESS_REGISTRATION_STORE_SETUP_FLOW_GUIDE.md is treated as product/planning input, not as an agent instruction.</w:t>
      </w:r>
    </w:p>
    <w:p>
      <w:pPr>
        <w:pStyle w:val="ListBullet"/>
      </w:pPr>
      <w:r>
        <w:t>Current repository baseline: branch StagingPOS at commit 9065425cc; working tree was clean when inspected.</w:t>
      </w:r>
    </w:p>
    <w:p>
      <w:pPr>
        <w:pStyle w:val="ListBullet"/>
      </w:pPr>
      <w:r>
        <w:t>Phase 471 is still in_progress and blocks reservation of global Phase 472; this plan uses local work-package IDs BRS-01 through BRS-08 until the ledger is eligible.</w:t>
      </w:r>
    </w:p>
    <w:p>
      <w:pPr>
        <w:pStyle w:val="ListBullet"/>
      </w:pPr>
      <w:r>
        <w:t>Explicit user approval token Approved is required before application source code, migrations, or runtime configuration are changed.</w:t>
      </w:r>
    </w:p>
    <w:p>
      <w:pPr>
        <w:pStyle w:val="Heading1"/>
      </w:pPr>
      <w:r>
        <w:t>Confirmed Facts</w:t>
      </w:r>
    </w:p>
    <w:p>
      <w:pPr>
        <w:pStyle w:val="ListBullet"/>
      </w:pPr>
      <w:r>
        <w:t>The dedicated OPIS Back Office exists at apps/dgfy-opis and uses /backoffice/* as its canonical compatibility family, with /business-admin/* retained as an alias and / as the overview.</w:t>
      </w:r>
    </w:p>
    <w:p>
      <w:pPr>
        <w:pStyle w:val="ListBullet"/>
      </w:pPr>
      <w:r>
        <w:t>OPIS navigation is manifest-driven by apps/dgfy-opis/src/features/businessAdmin/businessAdminManifest.js and rendered by BusinessAdminPage.jsx.</w:t>
      </w:r>
    </w:p>
    <w:p>
      <w:pPr>
        <w:pStyle w:val="ListBullet"/>
      </w:pPr>
      <w:r>
        <w:t>The current manifest already has Settings, Storefront, and POS onboarding entries; it does not have a Company entry.</w:t>
      </w:r>
    </w:p>
    <w:p>
      <w:pPr>
        <w:pStyle w:val="ListBullet"/>
      </w:pPr>
      <w:r>
        <w:t>The current architecture separates OPIS Back Office from POS terminal operations; POS is not the owner of new Back Office-level work.</w:t>
      </w:r>
    </w:p>
    <w:p>
      <w:pPr>
        <w:pStyle w:val="ListBullet"/>
      </w:pPr>
      <w:r>
        <w:t>Current registration is a manual-approval flow backed by the landlord-side registration use case and application model; it is not a tenant-ready setup wizard.</w:t>
      </w:r>
    </w:p>
    <w:p>
      <w:pPr>
        <w:pStyle w:val="ListBullet"/>
      </w:pPr>
      <w:r>
        <w:t>Existing Storefront and shared web-core settings components exist for business identity, gallery, delivery partners, hours, location, and menu import, but the attached three-step registration experience is not yet implemented end to end.</w:t>
      </w:r>
    </w:p>
    <w:p>
      <w:pPr>
        <w:pStyle w:val="ListBullet"/>
      </w:pPr>
      <w:r>
        <w:t>Current menu import is tenant-scoped and asynchronous; pre-approval uploads therefore require a separate landlord-side staged-file design.</w:t>
      </w:r>
    </w:p>
    <w:p>
      <w:pPr>
        <w:pStyle w:val="Heading1"/>
      </w:pPr>
      <w:r>
        <w:t>Assumptions</w:t>
      </w:r>
    </w:p>
    <w:p>
      <w:pPr>
        <w:pStyle w:val="ListBullet"/>
      </w:pPr>
      <w:r>
        <w:t>The requested button label 'Copany' is an apparent typo; the plan recommends the user-facing label Company and treats exact spelling as an approval decision.</w:t>
      </w:r>
    </w:p>
    <w:p>
      <w:pPr>
        <w:pStyle w:val="ListBullet"/>
      </w:pPr>
      <w:r>
        <w:t>The OPIS Company workspace is post-approval and tenant-scoped; public pre-approval registration is not moved into OPIS by adding a sidebar item.</w:t>
      </w:r>
    </w:p>
    <w:p>
      <w:pPr>
        <w:pStyle w:val="ListBullet"/>
      </w:pPr>
      <w:r>
        <w:t>The existing IMS Tenant Manager remains the platform-admin review/download owner unless an explicit architecture decision changes that ownership.</w:t>
      </w:r>
    </w:p>
    <w:p>
      <w:pPr>
        <w:pStyle w:val="ListBullet"/>
      </w:pPr>
      <w:r>
        <w:t>Existing canonical settings and onboarding APIs are reused where they satisfy the contract; duplicate storage and duplicate business logic are not introduced.</w:t>
      </w:r>
    </w:p>
    <w:p>
      <w:pPr>
        <w:pStyle w:val="Heading1"/>
      </w:pPr>
      <w:r>
        <w:t>Requirements Covered</w:t>
      </w:r>
    </w:p>
    <w:p>
      <w:pPr>
        <w:pStyle w:val="ListBullet"/>
      </w:pPr>
      <w:r>
        <w:t>FR-BRS-001: Add one OPIS sidebar entry labeled Company (pending label confirmation).</w:t>
      </w:r>
    </w:p>
    <w:p>
      <w:pPr>
        <w:pStyle w:val="ListBullet"/>
      </w:pPr>
      <w:r>
        <w:t>FR-BRS-002: Provide a tenant-scoped Company workspace for approved-company setup/status and authorized navigation to canonical settings.</w:t>
      </w:r>
    </w:p>
    <w:p>
      <w:pPr>
        <w:pStyle w:val="ListBullet"/>
      </w:pPr>
      <w:r>
        <w:t>FR-BRS-003: Implement the guide's exactly-three-step registration flow in the public Storefront/DGFY registration surface, not as a pre-approval OPIS form.</w:t>
      </w:r>
    </w:p>
    <w:p>
      <w:pPr>
        <w:pStyle w:val="ListBullet"/>
      </w:pPr>
      <w:r>
        <w:t>FR-BRS-004: Reuse existing Storefront/profile/gallery/delivery-partner controls rather than copying their behavior.</w:t>
      </w:r>
    </w:p>
    <w:p>
      <w:pPr>
        <w:pStyle w:val="ListBullet"/>
      </w:pPr>
      <w:r>
        <w:t>FR-BRS-005: Reuse existing location and business-hours services and preserve tenant/branch ownership.</w:t>
      </w:r>
    </w:p>
    <w:p>
      <w:pPr>
        <w:pStyle w:val="ListBullet"/>
      </w:pPr>
      <w:r>
        <w:t>FR-BRS-006: Stage original menu uploads before approval and keep extraction/review separate from live catalog creation.</w:t>
      </w:r>
    </w:p>
    <w:p>
      <w:pPr>
        <w:pStyle w:val="ListBullet"/>
      </w:pPr>
      <w:r>
        <w:t>FR-BRS-007: Keep Company Registration Terms and Marketplace Terms as two separately required legal acknowledgements with server-side version/timestamp recording.</w:t>
      </w:r>
    </w:p>
    <w:p>
      <w:pPr>
        <w:pStyle w:val="ListBullet"/>
      </w:pPr>
      <w:r>
        <w:t>FR-BRS-008: Keep platform-admin review/download in the existing admin surface; do not create a duplicate admin screen in OPIS.</w:t>
      </w:r>
    </w:p>
    <w:p>
      <w:pPr>
        <w:pStyle w:val="ListBullet"/>
      </w:pPr>
      <w:r>
        <w:t>FR-BRS-009: Materialize approved registration data idempotently into tenant Storefront/location settings only after approval.</w:t>
      </w:r>
    </w:p>
    <w:p>
      <w:pPr>
        <w:pStyle w:val="ListBullet"/>
      </w:pPr>
      <w:r>
        <w:t>FR-BRS-010: Protect private uploads and preserve originals for audit/download.</w:t>
      </w:r>
    </w:p>
    <w:p>
      <w:pPr>
        <w:pStyle w:val="Heading1"/>
      </w:pPr>
      <w:r>
        <w:t>Plan Content</w:t>
      </w:r>
    </w:p>
    <w:p>
      <w:pPr>
        <w:pStyle w:val="Heading2"/>
      </w:pPr>
      <w:r>
        <w:t>Phase Numbering Policy</w:t>
      </w:r>
    </w:p>
    <w:p>
      <w:r>
        <w:t>The attached guide proposes phases 345-349, but those numbers are stale in this checkout. The authoritative ledger currently ends at Phase 471, which is in_progress and blocks Phase 472. Therefore this plan uses local BRS work-package IDs and requires a ledger reconciliation/reservation step after Phase 471 completes. No ledger edit is included in this planning artifact.</w:t>
      </w:r>
    </w:p>
    <w:p>
      <w:pPr>
        <w:pStyle w:val="Heading2"/>
      </w:pPr>
      <w:r>
        <w:t>Ordered Work Packages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1152"/>
            <w:shd w:fill="1F4E78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3888"/>
            <w:shd w:fill="1F4E78"/>
          </w:tcPr>
          <w:p>
            <w:r>
              <w:rPr>
                <w:b/>
                <w:color w:val="FFFFFF"/>
              </w:rPr>
              <w:t>Objective</w:t>
            </w:r>
          </w:p>
        </w:tc>
        <w:tc>
          <w:tcPr>
            <w:tcW w:type="dxa" w:w="4032"/>
            <w:shd w:fill="1F4E78"/>
          </w:tcPr>
          <w:p>
            <w:r>
              <w:rPr>
                <w:b/>
                <w:color w:val="FFFFFF"/>
              </w:rPr>
              <w:t>Exit evidence</w:t>
            </w:r>
          </w:p>
        </w:tc>
        <w:tc>
          <w:tcPr>
            <w:tcW w:type="dxa" w:w="1728"/>
            <w:shd w:fill="1F4E78"/>
          </w:tcPr>
          <w:p>
            <w:r>
              <w:rPr>
                <w:b/>
                <w:color w:val="FFFFFF"/>
              </w:rPr>
              <w:t>Depends on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>
              <w:rPr>
                <w:b/>
              </w:rPr>
              <w:t>BRS-01</w:t>
            </w:r>
          </w:p>
        </w:tc>
        <w:tc>
          <w:tcPr>
            <w:tcW w:type="dxa" w:w="3888"/>
          </w:tcPr>
          <w:p>
            <w:pPr>
              <w:spacing w:after="20"/>
            </w:pPr>
            <w:r>
              <w:t>Schema, ownership, route, permission, and current-flow audit</w:t>
            </w:r>
          </w:p>
        </w:tc>
        <w:tc>
          <w:tcPr>
            <w:tcW w:type="dxa" w:w="4032"/>
          </w:tcPr>
          <w:p>
            <w:pPr>
              <w:spacing w:after="20"/>
            </w:pPr>
            <w:r>
              <w:t>Decision log, schema map, exact owner/route list, no unresolved boundary contradiction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t>None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>
              <w:rPr>
                <w:b/>
              </w:rPr>
              <w:t>BRS-02</w:t>
            </w:r>
          </w:p>
        </w:tc>
        <w:tc>
          <w:tcPr>
            <w:tcW w:type="dxa" w:w="3888"/>
          </w:tcPr>
          <w:p>
            <w:pPr>
              <w:spacing w:after="20"/>
            </w:pPr>
            <w:r>
              <w:t>Resolve product/legal/open decisions</w:t>
            </w:r>
          </w:p>
        </w:tc>
        <w:tc>
          <w:tcPr>
            <w:tcW w:type="dxa" w:w="4032"/>
          </w:tcPr>
          <w:p>
            <w:pPr>
              <w:spacing w:after="20"/>
            </w:pPr>
            <w:r>
              <w:t>Accepted values for DEC-BRS-01 through DEC-BRS-11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t>BRS-01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>
              <w:rPr>
                <w:b/>
              </w:rPr>
              <w:t>BRS-03</w:t>
            </w:r>
          </w:p>
        </w:tc>
        <w:tc>
          <w:tcPr>
            <w:tcW w:type="dxa" w:w="3888"/>
          </w:tcPr>
          <w:p>
            <w:pPr>
              <w:spacing w:after="20"/>
            </w:pPr>
            <w:r>
              <w:t>Add landlord-side snapshot/upload and legal-record model/API</w:t>
            </w:r>
          </w:p>
        </w:tc>
        <w:tc>
          <w:tcPr>
            <w:tcW w:type="dxa" w:w="4032"/>
          </w:tcPr>
          <w:p>
            <w:pPr>
              <w:spacing w:after="20"/>
            </w:pPr>
            <w:r>
              <w:t>Migration/API/security tests and private-storage evidence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t>BRS-01, BRS-02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>
              <w:rPr>
                <w:b/>
              </w:rPr>
              <w:t>BRS-04</w:t>
            </w:r>
          </w:p>
        </w:tc>
        <w:tc>
          <w:tcPr>
            <w:tcW w:type="dxa" w:w="3888"/>
          </w:tcPr>
          <w:p>
            <w:pPr>
              <w:spacing w:after="20"/>
            </w:pPr>
            <w:r>
              <w:t>Extend exact-three-step Storefront registration</w:t>
            </w:r>
          </w:p>
        </w:tc>
        <w:tc>
          <w:tcPr>
            <w:tcW w:type="dxa" w:w="4032"/>
          </w:tcPr>
          <w:p>
            <w:pPr>
              <w:spacing w:after="20"/>
            </w:pPr>
            <w:r>
              <w:t>Stepper, validation, consent, upload, and submission tests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t>BRS-02, BRS-03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>
              <w:rPr>
                <w:b/>
              </w:rPr>
              <w:t>BRS-05</w:t>
            </w:r>
          </w:p>
        </w:tc>
        <w:tc>
          <w:tcPr>
            <w:tcW w:type="dxa" w:w="3888"/>
          </w:tcPr>
          <w:p>
            <w:pPr>
              <w:spacing w:after="20"/>
            </w:pPr>
            <w:r>
              <w:t>Extend existing IMS Tenant Manager review/download</w:t>
            </w:r>
          </w:p>
        </w:tc>
        <w:tc>
          <w:tcPr>
            <w:tcW w:type="dxa" w:w="4032"/>
          </w:tcPr>
          <w:p>
            <w:pPr>
              <w:spacing w:after="20"/>
            </w:pPr>
            <w:r>
              <w:t>Admin UAT and authorization/download evidence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t>BRS-03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>
              <w:rPr>
                <w:b/>
              </w:rPr>
              <w:t>BRS-06</w:t>
            </w:r>
          </w:p>
        </w:tc>
        <w:tc>
          <w:tcPr>
            <w:tcW w:type="dxa" w:w="3888"/>
          </w:tcPr>
          <w:p>
            <w:pPr>
              <w:spacing w:after="20"/>
            </w:pPr>
            <w:r>
              <w:t>Implement approval materialization and menu review boundary</w:t>
            </w:r>
          </w:p>
        </w:tc>
        <w:tc>
          <w:tcPr>
            <w:tcW w:type="dxa" w:w="4032"/>
          </w:tcPr>
          <w:p>
            <w:pPr>
              <w:spacing w:after="20"/>
            </w:pPr>
            <w:r>
              <w:t>Idempotency, retry, tenant-isolation, and no-live-publish evidence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t>BRS-03, BRS-05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>
              <w:rPr>
                <w:b/>
              </w:rPr>
              <w:t>BRS-07</w:t>
            </w:r>
          </w:p>
        </w:tc>
        <w:tc>
          <w:tcPr>
            <w:tcW w:type="dxa" w:w="3888"/>
          </w:tcPr>
          <w:p>
            <w:pPr>
              <w:spacing w:after="20"/>
            </w:pPr>
            <w:r>
              <w:t>Add OPIS Company sidebar/workspace</w:t>
            </w:r>
          </w:p>
        </w:tc>
        <w:tc>
          <w:tcPr>
            <w:tcW w:type="dxa" w:w="4032"/>
          </w:tcPr>
          <w:p>
            <w:pPr>
              <w:spacing w:after="20"/>
            </w:pPr>
            <w:r>
              <w:t>Manifest/route/UI/accessibility tests and rendered evidence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t>BRS-06</w:t>
            </w:r>
          </w:p>
        </w:tc>
      </w:tr>
      <w:tr>
        <w:tc>
          <w:tcPr>
            <w:tcW w:type="dxa" w:w="1152"/>
          </w:tcPr>
          <w:p>
            <w:pPr>
              <w:spacing w:after="20"/>
            </w:pPr>
            <w:r>
              <w:rPr>
                <w:b/>
              </w:rPr>
              <w:t>BRS-08</w:t>
            </w:r>
          </w:p>
        </w:tc>
        <w:tc>
          <w:tcPr>
            <w:tcW w:type="dxa" w:w="3888"/>
          </w:tcPr>
          <w:p>
            <w:pPr>
              <w:spacing w:after="20"/>
            </w:pPr>
            <w:r>
              <w:t>Full-stack verification, rollout, and docs/ledger closure</w:t>
            </w:r>
          </w:p>
        </w:tc>
        <w:tc>
          <w:tcPr>
            <w:tcW w:type="dxa" w:w="4032"/>
          </w:tcPr>
          <w:p>
            <w:pPr>
              <w:spacing w:after="20"/>
            </w:pPr>
            <w:r>
              <w:t>Required checks, migration rehearsal, screenshots, release/rollback evidence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t>BRS-04 through BRS-07</w:t>
            </w:r>
          </w:p>
        </w:tc>
      </w:tr>
    </w:tbl>
    <w:p/>
    <w:p>
      <w:pPr>
        <w:pStyle w:val="Heading2"/>
      </w:pPr>
      <w:r>
        <w:t>Commit and PR Boundaries</w:t>
      </w:r>
    </w:p>
    <w:p>
      <w:pPr>
        <w:pStyle w:val="ListBullet"/>
      </w:pPr>
      <w:r>
        <w:t>Use Conventional Commits and batch commits by domain: data/contracts, backend/materialization, frontend/navigation, tests/docs.</w:t>
      </w:r>
    </w:p>
    <w:p>
      <w:pPr>
        <w:pStyle w:val="ListBullet"/>
      </w:pPr>
      <w:r>
        <w:t>Before staging, scan changed files for DO NOT COMMIT markers and exclude matches per repository policy.</w:t>
      </w:r>
    </w:p>
    <w:p>
      <w:pPr>
        <w:pStyle w:val="ListBullet"/>
      </w:pPr>
      <w:r>
        <w:t>Ordinary feature/fix PRs target develop; do not create or merge a PR from this planning-only task unless separately requested and approved.</w:t>
      </w:r>
    </w:p>
    <w:p>
      <w:pPr>
        <w:pStyle w:val="ListBullet"/>
      </w:pPr>
      <w:r>
        <w:t>Do not claim Phase completion until acceptance gates, required checks, and deployed/authorized evidence pass.</w:t>
      </w:r>
    </w:p>
    <w:p>
      <w:pPr>
        <w:pStyle w:val="Heading2"/>
      </w:pPr>
      <w:r>
        <w:t>Rollout Sequence</w:t>
      </w:r>
    </w:p>
    <w:p>
      <w:r>
        <w:t>Prefer an additive rollout: data/API support -&gt; admin review -&gt; approval materialization in a disabled or bounded mode -&gt; public stepper -&gt; OPIS Company entry -&gt; authenticated end-to-end acceptance -&gt; staged promotion. If any gate fails, keep the existing registration path usable and hide/disable only the new capability; do not remove historical application evidence.</w:t>
      </w:r>
    </w:p>
    <w:p>
      <w:pPr>
        <w:pStyle w:val="Heading1"/>
      </w:pPr>
      <w:r>
        <w:t>Affected Components</w:t>
      </w:r>
    </w:p>
    <w:p>
      <w:pPr>
        <w:pStyle w:val="ListBullet"/>
      </w:pPr>
      <w:r>
        <w:t>Implementation issue/PR</w:t>
      </w:r>
    </w:p>
    <w:p>
      <w:pPr>
        <w:pStyle w:val="ListBullet"/>
      </w:pPr>
      <w:r>
        <w:t>Migration runner</w:t>
      </w:r>
    </w:p>
    <w:p>
      <w:pPr>
        <w:pStyle w:val="ListBullet"/>
      </w:pPr>
      <w:r>
        <w:t>API modules</w:t>
      </w:r>
    </w:p>
    <w:p>
      <w:pPr>
        <w:pStyle w:val="ListBullet"/>
      </w:pPr>
      <w:r>
        <w:t>Storefront and OPIS frontends</w:t>
      </w:r>
    </w:p>
    <w:p>
      <w:pPr>
        <w:pStyle w:val="ListBullet"/>
      </w:pPr>
      <w:r>
        <w:t>IMS admin surface</w:t>
      </w:r>
    </w:p>
    <w:p>
      <w:pPr>
        <w:pStyle w:val="ListBullet"/>
      </w:pPr>
      <w:r>
        <w:t>Test/evidence docs</w:t>
      </w:r>
    </w:p>
    <w:p>
      <w:pPr>
        <w:pStyle w:val="ListBullet"/>
      </w:pPr>
      <w:r>
        <w:t>Authoritative phase ledger after eligibility</w:t>
      </w:r>
    </w:p>
    <w:p>
      <w:pPr>
        <w:pStyle w:val="Heading1"/>
      </w:pPr>
      <w:r>
        <w:t>Risks</w:t>
      </w:r>
    </w:p>
    <w:p>
      <w:pPr>
        <w:pStyle w:val="ListBullet"/>
      </w:pPr>
      <w:r>
        <w:t>Phase number collision</w:t>
      </w:r>
    </w:p>
    <w:p>
      <w:pPr>
        <w:pStyle w:val="ListBullet"/>
      </w:pPr>
      <w:r>
        <w:t>Building before open decisions</w:t>
      </w:r>
    </w:p>
    <w:p>
      <w:pPr>
        <w:pStyle w:val="ListBullet"/>
      </w:pPr>
      <w:r>
        <w:t>Large cross-surface PR with poor rollback</w:t>
      </w:r>
    </w:p>
    <w:p>
      <w:pPr>
        <w:pStyle w:val="ListBullet"/>
      </w:pPr>
      <w:r>
        <w:t>Sidebar shipped before backend contract</w:t>
      </w:r>
    </w:p>
    <w:p>
      <w:pPr>
        <w:pStyle w:val="ListBullet"/>
      </w:pPr>
      <w:r>
        <w:t>Incomplete evidence misreported as completion</w:t>
      </w:r>
    </w:p>
    <w:p>
      <w:pPr>
        <w:pStyle w:val="Heading1"/>
      </w:pPr>
      <w:r>
        <w:t>Tests Required</w:t>
      </w:r>
    </w:p>
    <w:p>
      <w:pPr>
        <w:pStyle w:val="ListBullet"/>
      </w:pPr>
      <w:r>
        <w:t>Each work-package exit checklist</w:t>
      </w:r>
    </w:p>
    <w:p>
      <w:pPr>
        <w:pStyle w:val="ListBullet"/>
      </w:pPr>
      <w:r>
        <w:t>Commit-domain validation</w:t>
      </w:r>
    </w:p>
    <w:p>
      <w:pPr>
        <w:pStyle w:val="ListBullet"/>
      </w:pPr>
      <w:r>
        <w:t>Full affected-app build/test matrix</w:t>
      </w:r>
    </w:p>
    <w:p>
      <w:pPr>
        <w:pStyle w:val="ListBullet"/>
      </w:pPr>
      <w:r>
        <w:t>Migration rehearsal</w:t>
      </w:r>
    </w:p>
    <w:p>
      <w:pPr>
        <w:pStyle w:val="ListBullet"/>
      </w:pPr>
      <w:r>
        <w:t>Authenticated browser evidence</w:t>
      </w:r>
    </w:p>
    <w:p>
      <w:pPr>
        <w:pStyle w:val="ListBullet"/>
      </w:pPr>
      <w:r>
        <w:t>Docs/architecture/compliance checks</w:t>
      </w:r>
    </w:p>
    <w:p>
      <w:pPr>
        <w:pStyle w:val="Heading1"/>
      </w:pPr>
      <w:r>
        <w:t>Acceptance Criteria</w:t>
      </w:r>
    </w:p>
    <w:p>
      <w:pPr>
        <w:pStyle w:val="ListBullet"/>
      </w:pPr>
      <w:r>
        <w:t>All BRS packages have evidence before closure</w:t>
      </w:r>
    </w:p>
    <w:p>
      <w:pPr>
        <w:pStyle w:val="ListBullet"/>
      </w:pPr>
      <w:r>
        <w:t>Global phase number is reconciled only after Phase 471</w:t>
      </w:r>
    </w:p>
    <w:p>
      <w:pPr>
        <w:pStyle w:val="ListBullet"/>
      </w:pPr>
      <w:r>
        <w:t>Every change has a rollback path</w:t>
      </w:r>
    </w:p>
    <w:p>
      <w:pPr>
        <w:pStyle w:val="ListBullet"/>
      </w:pPr>
      <w:r>
        <w:t>No unapproved scope is included</w:t>
      </w:r>
    </w:p>
    <w:p>
      <w:pPr>
        <w:pStyle w:val="ListBullet"/>
      </w:pPr>
      <w:r>
        <w:t>Implementation can stop safely after any package</w:t>
      </w:r>
    </w:p>
    <w:p>
      <w:pPr>
        <w:pStyle w:val="Heading1"/>
      </w:pPr>
      <w:r>
        <w:t>Execution Dependencies</w:t>
      </w:r>
    </w:p>
    <w:p>
      <w:pPr>
        <w:pStyle w:val="ListBullet"/>
      </w:pPr>
      <w:r>
        <w:t>Product/legal decisions</w:t>
      </w:r>
    </w:p>
    <w:p>
      <w:pPr>
        <w:pStyle w:val="ListBullet"/>
      </w:pPr>
      <w:r>
        <w:t>Phase 471 completion</w:t>
      </w:r>
    </w:p>
    <w:p>
      <w:pPr>
        <w:pStyle w:val="ListBullet"/>
      </w:pPr>
      <w:r>
        <w:t>Explicit Approved token</w:t>
      </w:r>
    </w:p>
    <w:p>
      <w:pPr>
        <w:pStyle w:val="ListBullet"/>
      </w:pPr>
      <w:r>
        <w:t>PR conventions if a later PR is requested</w:t>
      </w:r>
    </w:p>
    <w:p>
      <w:pPr>
        <w:pStyle w:val="ListBullet"/>
      </w:pPr>
      <w:r>
        <w:t>Staging/admin credentials and test data</w:t>
      </w:r>
    </w:p>
    <w:p>
      <w:pPr>
        <w:pStyle w:val="Heading1"/>
      </w:pPr>
      <w:r>
        <w:t>Cross-References</w:t>
      </w:r>
    </w:p>
    <w:p>
      <w:pPr>
        <w:pStyle w:val="ListBullet"/>
      </w:pPr>
      <w:r>
        <w:t>AGENTS.md (repository boundaries, approval gate, continuous phase numbering, and planning lookup order).</w:t>
      </w:r>
    </w:p>
    <w:p>
      <w:pPr>
        <w:pStyle w:val="ListBullet"/>
      </w:pPr>
      <w:r>
        <w:t>docs/START_HERE.md; docs/architecture/ARCHITECTURE_BOUNDARIES.md; docs/architecture/ARCHITECTURE_GOVERNANCE.md.</w:t>
      </w:r>
    </w:p>
    <w:p>
      <w:pPr>
        <w:pStyle w:val="ListBullet"/>
      </w:pPr>
      <w:r>
        <w:t>docs/architecture/adr/0013-tenant-first-login-onboarding-and-storefront-readiness-contract.md.</w:t>
      </w:r>
    </w:p>
    <w:p>
      <w:pPr>
        <w:pStyle w:val="ListBullet"/>
      </w:pPr>
      <w:r>
        <w:t>docs/architecture/adr/0022-global-dgfy-account-business-registration.md.</w:t>
      </w:r>
    </w:p>
    <w:p>
      <w:pPr>
        <w:pStyle w:val="ListBullet"/>
      </w:pPr>
      <w:r>
        <w:t>docs/architecture/adr/0029-catalog-inventory-pos-storefront-ownership-boundaries.md.</w:t>
      </w:r>
    </w:p>
    <w:p>
      <w:pPr>
        <w:pStyle w:val="ListBullet"/>
      </w:pPr>
      <w:r>
        <w:t>docs/architecture/adr/0049-batch-menu-import-async-extraction.md.</w:t>
      </w:r>
    </w:p>
    <w:p>
      <w:pPr>
        <w:pStyle w:val="ListBullet"/>
      </w:pPr>
      <w:r>
        <w:t>docs/architecture/adr/0087-dedicated-back-office-fourth-frontend-app-opis.md and proposed 0088 POS/OPIS boundary.</w:t>
      </w:r>
    </w:p>
    <w:p>
      <w:pPr>
        <w:pStyle w:val="ListBullet"/>
      </w:pPr>
      <w:r>
        <w:t>docs/features/backoffice.md and docs/features/IMPLEMENTATION_PHASE_LEDGER.md.</w:t>
      </w:r>
    </w:p>
    <w:p>
      <w:pPr>
        <w:pStyle w:val="ListBullet"/>
      </w:pPr>
      <w:r>
        <w:t>Attached BUSINESS_REGISTRATION_STORE_SETUP_FLOW_GUIDE.md.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6464"/>
        <w:sz w:val="16"/>
      </w:rPr>
      <w:t>Business Registration and Store Setup - Back Office Integration | Plan v1.0 | 2026-10-01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2F559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365F9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F4E7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Aptos" w:hAnsi="Aptos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